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60"/>
        </w:tabs>
        <w:spacing w:line="400" w:lineRule="exact"/>
        <w:jc w:val="both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  <w:bookmarkStart w:id="35" w:name="_GoBack"/>
      <w:bookmarkEnd w:id="35"/>
      <w:r>
        <w:rPr>
          <w:rFonts w:ascii="Times New Roman" w:hAnsi="Times New Roman" w:cs="Times New Roman"/>
          <w:sz w:val="24"/>
          <w:szCs w:val="24"/>
        </w:rPr>
        <w:t>文件编号：</w:t>
      </w:r>
      <w:r>
        <w:rPr>
          <w:rFonts w:ascii="Times New Roman" w:hAnsi="Times New Roman" w:eastAsia="仿宋_GB2312" w:cs="Times New Roman"/>
          <w:sz w:val="24"/>
          <w:szCs w:val="24"/>
        </w:rPr>
        <w:t>GY/INMAI-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GX-3-L2-JG-00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18</w:t>
      </w:r>
    </w:p>
    <w:p>
      <w:pPr>
        <w:spacing w:line="400" w:lineRule="exact"/>
        <w:rPr>
          <w:rFonts w:hint="eastAsia" w:ascii="Times New Roman" w:hAnsi="Times New Roman" w:eastAsia="宋体" w:cs="Times New Roman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版</w:t>
      </w:r>
      <w:r>
        <w:rPr>
          <w:rFonts w:hint="eastAsia" w:ascii="Times New Roman" w:hAnsi="Times New Roman" w:cs="Times New Roman"/>
          <w:sz w:val="24"/>
          <w:szCs w:val="24"/>
        </w:rPr>
        <w:t xml:space="preserve"> </w:t>
      </w:r>
      <w:r>
        <w:rPr>
          <w:rFonts w:hint="eastAsia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本</w:t>
      </w:r>
      <w:r>
        <w:rPr>
          <w:rFonts w:hint="eastAsia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号：</w:t>
      </w:r>
      <w:r>
        <w:rPr>
          <w:rFonts w:ascii="Times New Roman" w:hAnsi="Times New Roman" w:eastAsia="宋体" w:cs="Times New Roman"/>
          <w:sz w:val="24"/>
          <w:szCs w:val="24"/>
        </w:rPr>
        <w:t>V</w:t>
      </w:r>
      <w:r>
        <w:rPr>
          <w:rFonts w:hint="eastAsia" w:ascii="Times New Roman" w:hAnsi="Times New Roman" w:eastAsia="宋体" w:cs="Times New Roman"/>
          <w:sz w:val="24"/>
          <w:szCs w:val="24"/>
        </w:rPr>
        <w:t>1</w:t>
      </w:r>
      <w:r>
        <w:rPr>
          <w:rFonts w:ascii="Times New Roman" w:hAnsi="Times New Roman" w:eastAsia="宋体" w:cs="Times New Roman"/>
          <w:sz w:val="24"/>
          <w:szCs w:val="24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</w:t>
      </w:r>
    </w:p>
    <w:p>
      <w:pPr>
        <w:spacing w:line="300" w:lineRule="auto"/>
        <w:jc w:val="center"/>
        <w:rPr>
          <w:rFonts w:ascii="Times New Roman" w:hAnsi="Times New Roman" w:eastAsia="楷体_GB2312" w:cs="Times New Roman"/>
          <w:sz w:val="48"/>
        </w:rPr>
      </w:pPr>
    </w:p>
    <w:p>
      <w:pPr>
        <w:spacing w:line="300" w:lineRule="auto"/>
        <w:jc w:val="center"/>
        <w:rPr>
          <w:rFonts w:ascii="Times New Roman" w:hAnsi="Times New Roman" w:eastAsia="楷体_GB2312" w:cs="Times New Roman"/>
          <w:sz w:val="48"/>
        </w:rPr>
      </w:pPr>
    </w:p>
    <w:p>
      <w:pPr>
        <w:tabs>
          <w:tab w:val="left" w:pos="8190"/>
        </w:tabs>
        <w:spacing w:line="300" w:lineRule="auto"/>
        <w:jc w:val="center"/>
        <w:rPr>
          <w:rFonts w:ascii="Times New Roman" w:hAnsi="Times New Roman" w:cs="Times New Roman"/>
          <w:sz w:val="48"/>
          <w:szCs w:val="48"/>
        </w:rPr>
      </w:pPr>
    </w:p>
    <w:p>
      <w:pPr>
        <w:jc w:val="center"/>
        <w:rPr>
          <w:rFonts w:ascii="黑体" w:hAnsi="宋体" w:eastAsia="黑体" w:cs="黑体"/>
          <w:b/>
          <w:bCs/>
          <w:spacing w:val="56"/>
          <w:sz w:val="52"/>
          <w:szCs w:val="52"/>
        </w:rPr>
      </w:pPr>
      <w:r>
        <w:rPr>
          <w:rFonts w:hint="eastAsia" w:ascii="黑体" w:hAnsi="宋体" w:eastAsia="黑体" w:cs="黑体"/>
          <w:b/>
          <w:bCs/>
          <w:spacing w:val="56"/>
          <w:sz w:val="52"/>
          <w:szCs w:val="52"/>
        </w:rPr>
        <w:t>巡检图像采集软件</w:t>
      </w:r>
    </w:p>
    <w:p>
      <w:pPr>
        <w:jc w:val="center"/>
        <w:rPr>
          <w:rFonts w:ascii="黑体" w:hAnsi="宋体" w:eastAsia="黑体" w:cs="黑体"/>
          <w:b/>
          <w:bCs/>
          <w:spacing w:val="56"/>
          <w:sz w:val="52"/>
          <w:szCs w:val="52"/>
        </w:rPr>
      </w:pPr>
      <w:r>
        <w:rPr>
          <w:rFonts w:hint="eastAsia" w:ascii="黑体" w:hAnsi="宋体" w:eastAsia="黑体" w:cs="黑体"/>
          <w:b/>
          <w:bCs/>
          <w:spacing w:val="56"/>
          <w:sz w:val="52"/>
          <w:szCs w:val="52"/>
        </w:rPr>
        <w:t>TMAS V</w:t>
      </w:r>
      <w:r>
        <w:rPr>
          <w:rFonts w:hint="eastAsia" w:ascii="黑体" w:hAnsi="宋体" w:eastAsia="黑体" w:cs="黑体"/>
          <w:b/>
          <w:bCs/>
          <w:spacing w:val="56"/>
          <w:sz w:val="52"/>
          <w:szCs w:val="52"/>
          <w:lang w:val="en-US" w:eastAsia="zh-CN"/>
        </w:rPr>
        <w:t>3</w:t>
      </w:r>
      <w:r>
        <w:rPr>
          <w:rFonts w:hint="eastAsia" w:ascii="黑体" w:hAnsi="宋体" w:eastAsia="黑体" w:cs="黑体"/>
          <w:b/>
          <w:bCs/>
          <w:spacing w:val="56"/>
          <w:sz w:val="52"/>
          <w:szCs w:val="52"/>
        </w:rPr>
        <w:t>.0</w:t>
      </w:r>
    </w:p>
    <w:p>
      <w:pPr>
        <w:tabs>
          <w:tab w:val="left" w:pos="8190"/>
        </w:tabs>
        <w:spacing w:line="300" w:lineRule="auto"/>
        <w:jc w:val="center"/>
        <w:rPr>
          <w:rFonts w:ascii="黑体" w:hAnsi="宋体" w:eastAsia="黑体" w:cs="黑体"/>
          <w:b/>
          <w:bCs/>
          <w:spacing w:val="56"/>
          <w:sz w:val="52"/>
          <w:szCs w:val="52"/>
        </w:rPr>
      </w:pPr>
      <w:r>
        <w:rPr>
          <w:rFonts w:hint="eastAsia" w:ascii="黑体" w:hAnsi="宋体" w:eastAsia="黑体" w:cs="黑体"/>
          <w:b/>
          <w:bCs/>
          <w:spacing w:val="56"/>
          <w:sz w:val="52"/>
          <w:szCs w:val="52"/>
        </w:rPr>
        <w:t>技术需求书</w:t>
      </w:r>
    </w:p>
    <w:p>
      <w:pPr>
        <w:tabs>
          <w:tab w:val="left" w:pos="8190"/>
        </w:tabs>
        <w:spacing w:line="300" w:lineRule="auto"/>
        <w:jc w:val="center"/>
        <w:rPr>
          <w:rFonts w:ascii="Times New Roman" w:hAnsi="Times New Roman" w:cs="Times New Roman"/>
          <w:sz w:val="48"/>
          <w:szCs w:val="48"/>
        </w:rPr>
      </w:pPr>
    </w:p>
    <w:p>
      <w:pPr>
        <w:tabs>
          <w:tab w:val="left" w:pos="8190"/>
        </w:tabs>
        <w:spacing w:line="300" w:lineRule="auto"/>
        <w:jc w:val="center"/>
        <w:rPr>
          <w:rFonts w:ascii="Times New Roman" w:hAnsi="Times New Roman" w:cs="Times New Roman"/>
          <w:sz w:val="48"/>
          <w:szCs w:val="48"/>
        </w:rPr>
      </w:pPr>
    </w:p>
    <w:p>
      <w:pPr>
        <w:tabs>
          <w:tab w:val="left" w:pos="8190"/>
        </w:tabs>
        <w:spacing w:line="300" w:lineRule="auto"/>
        <w:jc w:val="center"/>
        <w:rPr>
          <w:rFonts w:ascii="Times New Roman" w:hAnsi="Times New Roman" w:cs="Times New Roman"/>
          <w:sz w:val="48"/>
          <w:szCs w:val="48"/>
        </w:rPr>
      </w:pPr>
    </w:p>
    <w:p>
      <w:pPr>
        <w:spacing w:line="400" w:lineRule="exact"/>
        <w:rPr>
          <w:rFonts w:ascii="Times New Roman" w:hAnsi="Times New Roman" w:cs="Times New Roman"/>
          <w:sz w:val="28"/>
          <w:szCs w:val="28"/>
          <w:u w:val="single"/>
        </w:rPr>
      </w:pPr>
    </w:p>
    <w:p>
      <w:pPr>
        <w:spacing w:line="400" w:lineRule="exact"/>
        <w:rPr>
          <w:rFonts w:ascii="Times New Roman" w:hAnsi="Times New Roman" w:cs="Times New Roman"/>
          <w:sz w:val="28"/>
          <w:szCs w:val="28"/>
          <w:u w:val="single"/>
        </w:rPr>
      </w:pPr>
    </w:p>
    <w:p>
      <w:pPr>
        <w:spacing w:line="400" w:lineRule="exact"/>
        <w:rPr>
          <w:rFonts w:ascii="Times New Roman" w:hAnsi="Times New Roman" w:cs="Times New Roman"/>
          <w:sz w:val="28"/>
          <w:szCs w:val="28"/>
          <w:u w:val="single"/>
        </w:rPr>
      </w:pPr>
    </w:p>
    <w:p>
      <w:pPr>
        <w:spacing w:line="400" w:lineRule="exact"/>
        <w:rPr>
          <w:rFonts w:ascii="Times New Roman" w:hAnsi="Times New Roman" w:cs="Times New Roman"/>
          <w:sz w:val="28"/>
          <w:szCs w:val="28"/>
          <w:u w:val="single"/>
        </w:rPr>
      </w:pPr>
    </w:p>
    <w:p>
      <w:pPr>
        <w:spacing w:line="300" w:lineRule="auto"/>
        <w:ind w:firstLine="2960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编 制：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spacing w:val="20"/>
          <w:sz w:val="28"/>
          <w:szCs w:val="28"/>
        </w:rPr>
        <w:instrText xml:space="preserve"> DOCPROPERTY 编制1 \* MERGEFORMAT </w:instrTex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fldChar w:fldCharType="separate"/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>李洋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fldChar w:fldCharType="end"/>
      </w:r>
    </w:p>
    <w:p>
      <w:pPr>
        <w:spacing w:line="300" w:lineRule="auto"/>
        <w:ind w:firstLine="2960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审 核：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spacing w:val="20"/>
          <w:sz w:val="28"/>
          <w:szCs w:val="28"/>
        </w:rPr>
        <w:instrText xml:space="preserve"> DOCPROPERTY 审核1 \* MERGEFORMAT </w:instrTex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fldChar w:fldCharType="separate"/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>杨超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fldChar w:fldCharType="end"/>
      </w:r>
    </w:p>
    <w:p>
      <w:pPr>
        <w:spacing w:line="300" w:lineRule="auto"/>
        <w:ind w:firstLine="2960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批 准：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spacing w:val="20"/>
          <w:sz w:val="28"/>
          <w:szCs w:val="28"/>
        </w:rPr>
        <w:instrText xml:space="preserve"> DOCPROPERTY 批准1 \* MERGEFORMAT </w:instrTex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fldChar w:fldCharType="separate"/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>韩强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fldChar w:fldCharType="end"/>
      </w:r>
    </w:p>
    <w:p>
      <w:pPr>
        <w:spacing w:line="300" w:lineRule="auto"/>
        <w:ind w:firstLine="2960"/>
        <w:rPr>
          <w:rFonts w:ascii="Times New Roman" w:hAnsi="Times New Roman" w:eastAsia="宋体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>批准日期：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fldChar w:fldCharType="begin"/>
      </w:r>
      <w:r>
        <w:rPr>
          <w:rFonts w:ascii="Times New Roman" w:hAnsi="Times New Roman" w:cs="Times New Roman"/>
          <w:b/>
          <w:spacing w:val="20"/>
          <w:sz w:val="28"/>
          <w:szCs w:val="28"/>
        </w:rPr>
        <w:instrText xml:space="preserve"> DOCPROPERTY 批准1日期 \* MERGEFORMAT </w:instrTex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fldChar w:fldCharType="separate"/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>2022-06-27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fldChar w:fldCharType="end"/>
      </w:r>
    </w:p>
    <w:p>
      <w:pPr>
        <w:spacing w:line="300" w:lineRule="auto"/>
        <w:ind w:firstLine="2960"/>
        <w:rPr>
          <w:rFonts w:ascii="Times New Roman" w:hAnsi="Times New Roman" w:cs="Times New Roman"/>
          <w:b/>
          <w:spacing w:val="20"/>
          <w:sz w:val="28"/>
          <w:szCs w:val="28"/>
        </w:rPr>
      </w:pPr>
    </w:p>
    <w:p>
      <w:pPr>
        <w:spacing w:line="300" w:lineRule="auto"/>
        <w:ind w:firstLine="2520"/>
        <w:rPr>
          <w:rFonts w:ascii="Times New Roman" w:hAnsi="Times New Roman" w:eastAsia="仿宋_GB2312" w:cs="Times New Roman"/>
          <w:sz w:val="28"/>
          <w:szCs w:val="28"/>
          <w:u w:val="single"/>
        </w:rPr>
      </w:pPr>
    </w:p>
    <w:p>
      <w:pPr>
        <w:spacing w:line="300" w:lineRule="auto"/>
        <w:ind w:firstLine="2520"/>
        <w:rPr>
          <w:rFonts w:ascii="Times New Roman" w:hAnsi="Times New Roman" w:eastAsia="仿宋_GB2312" w:cs="Times New Roman"/>
          <w:sz w:val="28"/>
          <w:szCs w:val="28"/>
          <w:u w:val="single"/>
        </w:rPr>
      </w:pPr>
    </w:p>
    <w:p>
      <w:pPr>
        <w:spacing w:line="300" w:lineRule="auto"/>
        <w:ind w:firstLine="2520"/>
        <w:rPr>
          <w:rFonts w:ascii="Times New Roman" w:hAnsi="Times New Roman" w:eastAsia="仿宋_GB2312" w:cs="Times New Roman"/>
          <w:sz w:val="28"/>
          <w:szCs w:val="28"/>
          <w:u w:val="single"/>
        </w:rPr>
      </w:pPr>
    </w:p>
    <w:p>
      <w:pPr>
        <w:tabs>
          <w:tab w:val="left" w:pos="8190"/>
        </w:tabs>
        <w:spacing w:line="300" w:lineRule="auto"/>
        <w:jc w:val="center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sz w:val="28"/>
          <w:szCs w:val="28"/>
        </w:rPr>
        <w:t>北京铁科英迈技术有限公司</w:t>
      </w:r>
    </w:p>
    <w:p>
      <w:pPr>
        <w:jc w:val="center"/>
        <w:rPr>
          <w:rFonts w:ascii="Times New Roman" w:hAnsi="Times New Roman" w:eastAsia="黑体" w:cs="Times New Roman"/>
          <w:b/>
          <w:sz w:val="24"/>
          <w:szCs w:val="24"/>
        </w:rPr>
      </w:pPr>
      <w:r>
        <w:rPr>
          <w:rFonts w:ascii="Times New Roman" w:hAnsi="Times New Roman" w:eastAsia="黑体" w:cs="Times New Roman"/>
          <w:b/>
          <w:sz w:val="24"/>
          <w:szCs w:val="24"/>
        </w:rPr>
        <w:fldChar w:fldCharType="begin"/>
      </w:r>
      <w:r>
        <w:rPr>
          <w:rFonts w:ascii="Times New Roman" w:hAnsi="Times New Roman" w:eastAsia="黑体" w:cs="Times New Roman"/>
          <w:b/>
          <w:sz w:val="24"/>
          <w:szCs w:val="24"/>
        </w:rPr>
        <w:instrText xml:space="preserve"> DOCPROPERTY 批准1日期 \* MERGEFORMAT </w:instrText>
      </w:r>
      <w:r>
        <w:rPr>
          <w:rFonts w:ascii="Times New Roman" w:hAnsi="Times New Roman" w:eastAsia="黑体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eastAsia="黑体" w:cs="Times New Roman"/>
          <w:b/>
          <w:sz w:val="24"/>
          <w:szCs w:val="24"/>
        </w:rPr>
        <w:t>2022-06-27</w:t>
      </w:r>
      <w:r>
        <w:rPr>
          <w:rFonts w:ascii="Times New Roman" w:hAnsi="Times New Roman" w:eastAsia="黑体" w:cs="Times New Roman"/>
          <w:b/>
          <w:sz w:val="24"/>
          <w:szCs w:val="24"/>
        </w:rPr>
        <w:fldChar w:fldCharType="end"/>
      </w:r>
      <w:r>
        <w:rPr>
          <w:rFonts w:ascii="Times New Roman" w:hAnsi="Times New Roman" w:eastAsia="黑体" w:cs="Times New Roman"/>
          <w:b/>
          <w:sz w:val="24"/>
          <w:szCs w:val="24"/>
        </w:rPr>
        <w:t>发布</w:t>
      </w:r>
    </w:p>
    <w:p>
      <w:pPr>
        <w:jc w:val="center"/>
        <w:rPr>
          <w:rFonts w:ascii="Times New Roman" w:hAnsi="Times New Roman" w:cs="Times New Roman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1907" w:h="16840"/>
          <w:pgMar w:top="1571" w:right="1191" w:bottom="1247" w:left="1191" w:header="851" w:footer="567" w:gutter="567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linePitch="286" w:charSpace="535"/>
        </w:sectPr>
      </w:pPr>
    </w:p>
    <w:p>
      <w:pPr>
        <w:jc w:val="center"/>
        <w:rPr>
          <w:rFonts w:ascii="Times New Roman" w:hAnsi="Times New Roman" w:eastAsia="仿宋_GB2312" w:cs="Times New Roman"/>
          <w:b/>
          <w:bCs/>
          <w:sz w:val="32"/>
        </w:rPr>
      </w:pPr>
      <w:r>
        <w:rPr>
          <w:rFonts w:ascii="Times New Roman" w:hAnsi="Times New Roman" w:eastAsia="仿宋_GB2312" w:cs="Times New Roman"/>
          <w:b/>
          <w:bCs/>
          <w:sz w:val="32"/>
        </w:rPr>
        <w:t>变  更  记  录</w:t>
      </w:r>
    </w:p>
    <w:tbl>
      <w:tblPr>
        <w:tblStyle w:val="36"/>
        <w:tblW w:w="91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163"/>
        <w:gridCol w:w="1444"/>
        <w:gridCol w:w="1343"/>
        <w:gridCol w:w="1319"/>
        <w:gridCol w:w="11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704" w:type="dxa"/>
            <w:shd w:val="clear" w:color="auto" w:fill="D9D9D9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序号</w:t>
            </w:r>
          </w:p>
        </w:tc>
        <w:tc>
          <w:tcPr>
            <w:tcW w:w="3163" w:type="dxa"/>
            <w:shd w:val="clear" w:color="auto" w:fill="D9D9D9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修改内容</w:t>
            </w:r>
          </w:p>
        </w:tc>
        <w:tc>
          <w:tcPr>
            <w:tcW w:w="1444" w:type="dxa"/>
            <w:shd w:val="clear" w:color="auto" w:fill="D9D9D9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修改/日期</w:t>
            </w:r>
          </w:p>
        </w:tc>
        <w:tc>
          <w:tcPr>
            <w:tcW w:w="1343" w:type="dxa"/>
            <w:shd w:val="clear" w:color="auto" w:fill="D9D9D9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审核/日期</w:t>
            </w:r>
          </w:p>
        </w:tc>
        <w:tc>
          <w:tcPr>
            <w:tcW w:w="1319" w:type="dxa"/>
            <w:shd w:val="clear" w:color="auto" w:fill="D9D9D9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批准/日期</w:t>
            </w:r>
          </w:p>
        </w:tc>
        <w:tc>
          <w:tcPr>
            <w:tcW w:w="1164" w:type="dxa"/>
            <w:shd w:val="clear" w:color="auto" w:fill="D9D9D9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实施日期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0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Times New Roman"/>
              </w:rPr>
              <w:t>1</w:t>
            </w:r>
          </w:p>
        </w:tc>
        <w:tc>
          <w:tcPr>
            <w:tcW w:w="3163" w:type="dxa"/>
            <w:vAlign w:val="center"/>
          </w:tcPr>
          <w:p>
            <w:pPr>
              <w:spacing w:line="240" w:lineRule="auto"/>
              <w:ind w:left="-107" w:leftChars="-51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V1.0  新建技术需求书</w:t>
            </w:r>
          </w:p>
        </w:tc>
        <w:tc>
          <w:tcPr>
            <w:tcW w:w="144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2"/>
              </w:rPr>
              <w:t>李洋/20</w:t>
            </w:r>
            <w:r>
              <w:rPr>
                <w:rFonts w:hint="eastAsia" w:ascii="Times New Roman" w:hAnsi="Times New Roman" w:eastAsia="仿宋_GB2312" w:cs="Times New Roman"/>
                <w:szCs w:val="22"/>
                <w:lang w:val="en-US" w:eastAsia="zh-CN"/>
              </w:rPr>
              <w:t>22</w:t>
            </w:r>
            <w:r>
              <w:rPr>
                <w:rFonts w:hint="eastAsia" w:ascii="Times New Roman" w:hAnsi="Times New Roman" w:eastAsia="仿宋_GB2312" w:cs="Times New Roman"/>
                <w:szCs w:val="22"/>
              </w:rPr>
              <w:t>.0</w:t>
            </w:r>
            <w:r>
              <w:rPr>
                <w:rFonts w:hint="eastAsia" w:ascii="Times New Roman" w:hAnsi="Times New Roman" w:eastAsia="仿宋_GB2312" w:cs="Times New Roman"/>
                <w:szCs w:val="22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Times New Roman"/>
                <w:szCs w:val="22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szCs w:val="22"/>
                <w:lang w:val="en-US" w:eastAsia="zh-CN"/>
              </w:rPr>
              <w:t>20</w:t>
            </w:r>
          </w:p>
        </w:tc>
        <w:tc>
          <w:tcPr>
            <w:tcW w:w="1343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7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3163" w:type="dxa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Cs w:val="22"/>
                <w:lang w:val="en-US" w:eastAsia="zh-CN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0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3163" w:type="dxa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70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163" w:type="dxa"/>
            <w:vAlign w:val="center"/>
          </w:tcPr>
          <w:p>
            <w:pPr>
              <w:spacing w:line="240" w:lineRule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0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163" w:type="dxa"/>
            <w:vAlign w:val="center"/>
          </w:tcPr>
          <w:p>
            <w:pPr>
              <w:spacing w:line="240" w:lineRule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0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163" w:type="dxa"/>
            <w:vAlign w:val="center"/>
          </w:tcPr>
          <w:p>
            <w:pPr>
              <w:spacing w:line="240" w:lineRule="auto"/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0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163" w:type="dxa"/>
            <w:vAlign w:val="center"/>
          </w:tcPr>
          <w:p>
            <w:pPr>
              <w:spacing w:line="240" w:lineRule="auto"/>
              <w:jc w:val="both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0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163" w:type="dxa"/>
            <w:vAlign w:val="center"/>
          </w:tcPr>
          <w:p>
            <w:pPr>
              <w:spacing w:line="240" w:lineRule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0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163" w:type="dxa"/>
            <w:vAlign w:val="center"/>
          </w:tcPr>
          <w:p>
            <w:pPr>
              <w:spacing w:line="240" w:lineRule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0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163" w:type="dxa"/>
            <w:vAlign w:val="center"/>
          </w:tcPr>
          <w:p>
            <w:pPr>
              <w:spacing w:line="240" w:lineRule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0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163" w:type="dxa"/>
            <w:vAlign w:val="center"/>
          </w:tcPr>
          <w:p>
            <w:pPr>
              <w:spacing w:line="240" w:lineRule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0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163" w:type="dxa"/>
            <w:vAlign w:val="center"/>
          </w:tcPr>
          <w:p>
            <w:pPr>
              <w:spacing w:line="240" w:lineRule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0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163" w:type="dxa"/>
            <w:vAlign w:val="center"/>
          </w:tcPr>
          <w:p>
            <w:pPr>
              <w:spacing w:line="240" w:lineRule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70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3163" w:type="dxa"/>
            <w:vAlign w:val="center"/>
          </w:tcPr>
          <w:p>
            <w:pPr>
              <w:spacing w:line="240" w:lineRule="auto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4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43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240" w:lineRule="auto"/>
              <w:jc w:val="center"/>
              <w:rPr>
                <w:rFonts w:ascii="Times New Roman" w:hAnsi="Times New Roman" w:eastAsia="仿宋_GB2312" w:cs="Times New Roman"/>
                <w:szCs w:val="22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仿宋" w:cs="Times New Roman"/>
        </w:rPr>
        <w:t>注：对该文件内容增加、删除或修改均需填写变更记录，详细记载变更信息，以保证其可追溯性。</w:t>
      </w:r>
    </w:p>
    <w:p>
      <w:pPr>
        <w:rPr>
          <w:rFonts w:ascii="Times New Roman" w:hAnsi="Times New Roman" w:cs="Times New Roman"/>
        </w:rPr>
        <w:sectPr>
          <w:footerReference r:id="rId9" w:type="default"/>
          <w:pgSz w:w="11907" w:h="16840"/>
          <w:pgMar w:top="1571" w:right="1191" w:bottom="1247" w:left="1191" w:header="851" w:footer="567" w:gutter="567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 w:start="1"/>
          <w:cols w:space="720" w:num="1"/>
          <w:docGrid w:linePitch="286" w:charSpace="535"/>
        </w:sectPr>
      </w:pPr>
    </w:p>
    <w:p>
      <w:pPr>
        <w:jc w:val="center"/>
        <w:rPr>
          <w:rFonts w:ascii="Times New Roman" w:hAnsi="Times New Roman" w:eastAsia="宋体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目    录</w:t>
      </w:r>
    </w:p>
    <w:p>
      <w:pPr>
        <w:pStyle w:val="25"/>
        <w:tabs>
          <w:tab w:val="right" w:leader="dot" w:pos="8958"/>
        </w:tabs>
      </w:pPr>
      <w:r>
        <w:rPr>
          <w:rFonts w:ascii="Times New Roman" w:hAnsi="Times New Roman" w:eastAsia="仿宋" w:cs="Times New Roman"/>
          <w:b w:val="0"/>
          <w:szCs w:val="21"/>
        </w:rPr>
        <w:fldChar w:fldCharType="begin"/>
      </w:r>
      <w:r>
        <w:rPr>
          <w:rFonts w:ascii="Times New Roman" w:hAnsi="Times New Roman" w:eastAsia="仿宋" w:cs="Times New Roman"/>
          <w:b w:val="0"/>
          <w:szCs w:val="21"/>
        </w:rPr>
        <w:instrText xml:space="preserve">TOC \o "1-9" \h \u </w:instrText>
      </w:r>
      <w:r>
        <w:rPr>
          <w:rFonts w:ascii="Times New Roman" w:hAnsi="Times New Roman" w:eastAsia="仿宋" w:cs="Times New Roman"/>
          <w:b w:val="0"/>
          <w:szCs w:val="21"/>
        </w:rPr>
        <w:fldChar w:fldCharType="separate"/>
      </w:r>
      <w:r>
        <w:rPr>
          <w:rFonts w:ascii="Times New Roman" w:hAnsi="Times New Roman" w:eastAsia="仿宋" w:cs="Times New Roman"/>
          <w:szCs w:val="21"/>
        </w:rPr>
        <w:fldChar w:fldCharType="begin"/>
      </w:r>
      <w:r>
        <w:rPr>
          <w:rFonts w:ascii="Times New Roman" w:hAnsi="Times New Roman" w:eastAsia="仿宋" w:cs="Times New Roman"/>
          <w:szCs w:val="21"/>
        </w:rPr>
        <w:instrText xml:space="preserve"> HYPERLINK \l _Toc10037 </w:instrText>
      </w:r>
      <w:r>
        <w:rPr>
          <w:rFonts w:ascii="Times New Roman" w:hAnsi="Times New Roman" w:eastAsia="仿宋" w:cs="Times New Roman"/>
          <w:szCs w:val="21"/>
        </w:rPr>
        <w:fldChar w:fldCharType="separate"/>
      </w:r>
      <w:r>
        <w:rPr>
          <w:rFonts w:hint="eastAsia"/>
          <w:szCs w:val="28"/>
        </w:rPr>
        <w:t>1. 产品简介</w:t>
      </w:r>
      <w:r>
        <w:tab/>
      </w:r>
      <w:r>
        <w:fldChar w:fldCharType="begin"/>
      </w:r>
      <w:r>
        <w:instrText xml:space="preserve"> PAGEREF _Toc10037 \h </w:instrText>
      </w:r>
      <w:r>
        <w:fldChar w:fldCharType="separate"/>
      </w:r>
      <w:r>
        <w:t>1</w:t>
      </w:r>
      <w:r>
        <w:fldChar w:fldCharType="end"/>
      </w:r>
      <w:r>
        <w:rPr>
          <w:rFonts w:ascii="Times New Roman" w:hAnsi="Times New Roman" w:eastAsia="仿宋" w:cs="Times New Roman"/>
          <w:szCs w:val="21"/>
        </w:rPr>
        <w:fldChar w:fldCharType="end"/>
      </w:r>
    </w:p>
    <w:p>
      <w:pPr>
        <w:pStyle w:val="25"/>
        <w:tabs>
          <w:tab w:val="right" w:leader="dot" w:pos="8958"/>
        </w:tabs>
      </w:pPr>
      <w:r>
        <w:rPr>
          <w:rFonts w:ascii="Times New Roman" w:hAnsi="Times New Roman" w:eastAsia="仿宋" w:cs="Times New Roman"/>
          <w:szCs w:val="21"/>
        </w:rPr>
        <w:fldChar w:fldCharType="begin"/>
      </w:r>
      <w:r>
        <w:rPr>
          <w:rFonts w:ascii="Times New Roman" w:hAnsi="Times New Roman" w:eastAsia="仿宋" w:cs="Times New Roman"/>
          <w:szCs w:val="21"/>
        </w:rPr>
        <w:instrText xml:space="preserve"> HYPERLINK \l _Toc4654 </w:instrText>
      </w:r>
      <w:r>
        <w:rPr>
          <w:rFonts w:ascii="Times New Roman" w:hAnsi="Times New Roman" w:eastAsia="仿宋" w:cs="Times New Roman"/>
          <w:szCs w:val="21"/>
        </w:rPr>
        <w:fldChar w:fldCharType="separate"/>
      </w:r>
      <w:r>
        <w:rPr>
          <w:rFonts w:hint="eastAsia"/>
          <w:szCs w:val="28"/>
        </w:rPr>
        <w:t>2. 组成清单</w:t>
      </w:r>
      <w:r>
        <w:tab/>
      </w:r>
      <w:r>
        <w:fldChar w:fldCharType="begin"/>
      </w:r>
      <w:r>
        <w:instrText xml:space="preserve"> PAGEREF _Toc4654 \h </w:instrText>
      </w:r>
      <w:r>
        <w:fldChar w:fldCharType="separate"/>
      </w:r>
      <w:r>
        <w:t>1</w:t>
      </w:r>
      <w:r>
        <w:fldChar w:fldCharType="end"/>
      </w:r>
      <w:r>
        <w:rPr>
          <w:rFonts w:ascii="Times New Roman" w:hAnsi="Times New Roman" w:eastAsia="仿宋" w:cs="Times New Roman"/>
          <w:szCs w:val="21"/>
        </w:rPr>
        <w:fldChar w:fldCharType="end"/>
      </w:r>
    </w:p>
    <w:p>
      <w:pPr>
        <w:pStyle w:val="25"/>
        <w:tabs>
          <w:tab w:val="right" w:leader="dot" w:pos="8958"/>
        </w:tabs>
      </w:pPr>
      <w:r>
        <w:rPr>
          <w:rFonts w:ascii="Times New Roman" w:hAnsi="Times New Roman" w:eastAsia="仿宋" w:cs="Times New Roman"/>
          <w:szCs w:val="21"/>
        </w:rPr>
        <w:fldChar w:fldCharType="begin"/>
      </w:r>
      <w:r>
        <w:rPr>
          <w:rFonts w:ascii="Times New Roman" w:hAnsi="Times New Roman" w:eastAsia="仿宋" w:cs="Times New Roman"/>
          <w:szCs w:val="21"/>
        </w:rPr>
        <w:instrText xml:space="preserve"> HYPERLINK \l _Toc886 </w:instrText>
      </w:r>
      <w:r>
        <w:rPr>
          <w:rFonts w:ascii="Times New Roman" w:hAnsi="Times New Roman" w:eastAsia="仿宋" w:cs="Times New Roman"/>
          <w:szCs w:val="21"/>
        </w:rPr>
        <w:fldChar w:fldCharType="separate"/>
      </w:r>
      <w:r>
        <w:rPr>
          <w:rFonts w:hint="eastAsia"/>
          <w:szCs w:val="28"/>
        </w:rPr>
        <w:t>3. 技术要求</w:t>
      </w:r>
      <w:r>
        <w:tab/>
      </w:r>
      <w:r>
        <w:fldChar w:fldCharType="begin"/>
      </w:r>
      <w:r>
        <w:instrText xml:space="preserve"> PAGEREF _Toc886 \h </w:instrText>
      </w:r>
      <w:r>
        <w:fldChar w:fldCharType="separate"/>
      </w:r>
      <w:r>
        <w:t>2</w:t>
      </w:r>
      <w:r>
        <w:fldChar w:fldCharType="end"/>
      </w:r>
      <w:r>
        <w:rPr>
          <w:rFonts w:ascii="Times New Roman" w:hAnsi="Times New Roman" w:eastAsia="仿宋" w:cs="Times New Roman"/>
          <w:szCs w:val="21"/>
        </w:rPr>
        <w:fldChar w:fldCharType="end"/>
      </w:r>
    </w:p>
    <w:p>
      <w:pPr>
        <w:pStyle w:val="25"/>
        <w:tabs>
          <w:tab w:val="right" w:leader="dot" w:pos="8958"/>
        </w:tabs>
      </w:pPr>
      <w:r>
        <w:rPr>
          <w:rFonts w:ascii="Times New Roman" w:hAnsi="Times New Roman" w:eastAsia="仿宋" w:cs="Times New Roman"/>
          <w:szCs w:val="21"/>
        </w:rPr>
        <w:fldChar w:fldCharType="begin"/>
      </w:r>
      <w:r>
        <w:rPr>
          <w:rFonts w:ascii="Times New Roman" w:hAnsi="Times New Roman" w:eastAsia="仿宋" w:cs="Times New Roman"/>
          <w:szCs w:val="21"/>
        </w:rPr>
        <w:instrText xml:space="preserve"> HYPERLINK \l _Toc14780 </w:instrText>
      </w:r>
      <w:r>
        <w:rPr>
          <w:rFonts w:ascii="Times New Roman" w:hAnsi="Times New Roman" w:eastAsia="仿宋" w:cs="Times New Roman"/>
          <w:szCs w:val="21"/>
        </w:rPr>
        <w:fldChar w:fldCharType="separate"/>
      </w:r>
      <w:r>
        <w:rPr>
          <w:rFonts w:hint="eastAsia"/>
          <w:szCs w:val="28"/>
        </w:rPr>
        <w:t>4. 其他要求</w:t>
      </w:r>
      <w:r>
        <w:tab/>
      </w:r>
      <w:r>
        <w:fldChar w:fldCharType="begin"/>
      </w:r>
      <w:r>
        <w:instrText xml:space="preserve"> PAGEREF _Toc14780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eastAsia="仿宋" w:cs="Times New Roman"/>
          <w:szCs w:val="21"/>
        </w:rPr>
        <w:fldChar w:fldCharType="end"/>
      </w:r>
    </w:p>
    <w:p>
      <w:pPr>
        <w:pStyle w:val="25"/>
        <w:tabs>
          <w:tab w:val="right" w:leader="dot" w:pos="8958"/>
        </w:tabs>
      </w:pPr>
      <w:r>
        <w:rPr>
          <w:rFonts w:ascii="Times New Roman" w:hAnsi="Times New Roman" w:eastAsia="仿宋" w:cs="Times New Roman"/>
          <w:szCs w:val="21"/>
        </w:rPr>
        <w:fldChar w:fldCharType="begin"/>
      </w:r>
      <w:r>
        <w:rPr>
          <w:rFonts w:ascii="Times New Roman" w:hAnsi="Times New Roman" w:eastAsia="仿宋" w:cs="Times New Roman"/>
          <w:szCs w:val="21"/>
        </w:rPr>
        <w:instrText xml:space="preserve"> HYPERLINK \l _Toc22141 </w:instrText>
      </w:r>
      <w:r>
        <w:rPr>
          <w:rFonts w:ascii="Times New Roman" w:hAnsi="Times New Roman" w:eastAsia="仿宋" w:cs="Times New Roman"/>
          <w:szCs w:val="21"/>
        </w:rPr>
        <w:fldChar w:fldCharType="separate"/>
      </w:r>
      <w:r>
        <w:rPr>
          <w:rFonts w:hint="eastAsia"/>
          <w:szCs w:val="28"/>
        </w:rPr>
        <w:t>5. 不合格控制要求</w:t>
      </w:r>
      <w:r>
        <w:tab/>
      </w:r>
      <w:r>
        <w:fldChar w:fldCharType="begin"/>
      </w:r>
      <w:r>
        <w:instrText xml:space="preserve"> PAGEREF _Toc22141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eastAsia="仿宋" w:cs="Times New Roman"/>
          <w:szCs w:val="21"/>
        </w:rPr>
        <w:fldChar w:fldCharType="end"/>
      </w:r>
    </w:p>
    <w:p>
      <w:pPr>
        <w:pStyle w:val="25"/>
        <w:tabs>
          <w:tab w:val="right" w:leader="dot" w:pos="8958"/>
        </w:tabs>
      </w:pPr>
      <w:r>
        <w:rPr>
          <w:rFonts w:ascii="Times New Roman" w:hAnsi="Times New Roman" w:eastAsia="仿宋" w:cs="Times New Roman"/>
          <w:szCs w:val="21"/>
        </w:rPr>
        <w:fldChar w:fldCharType="begin"/>
      </w:r>
      <w:r>
        <w:rPr>
          <w:rFonts w:ascii="Times New Roman" w:hAnsi="Times New Roman" w:eastAsia="仿宋" w:cs="Times New Roman"/>
          <w:szCs w:val="21"/>
        </w:rPr>
        <w:instrText xml:space="preserve"> HYPERLINK \l _Toc26543 </w:instrText>
      </w:r>
      <w:r>
        <w:rPr>
          <w:rFonts w:ascii="Times New Roman" w:hAnsi="Times New Roman" w:eastAsia="仿宋" w:cs="Times New Roman"/>
          <w:szCs w:val="21"/>
        </w:rPr>
        <w:fldChar w:fldCharType="separate"/>
      </w:r>
      <w:r>
        <w:rPr>
          <w:rFonts w:hint="eastAsia"/>
          <w:szCs w:val="28"/>
        </w:rPr>
        <w:t>6. 技术文件清单控制</w:t>
      </w:r>
      <w:r>
        <w:tab/>
      </w:r>
      <w:r>
        <w:fldChar w:fldCharType="begin"/>
      </w:r>
      <w:r>
        <w:instrText xml:space="preserve"> PAGEREF _Toc26543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eastAsia="仿宋" w:cs="Times New Roman"/>
          <w:szCs w:val="21"/>
        </w:rPr>
        <w:fldChar w:fldCharType="end"/>
      </w:r>
    </w:p>
    <w:p>
      <w:pPr>
        <w:pStyle w:val="25"/>
        <w:tabs>
          <w:tab w:val="right" w:leader="dot" w:pos="8958"/>
        </w:tabs>
      </w:pPr>
      <w:r>
        <w:rPr>
          <w:rFonts w:ascii="Times New Roman" w:hAnsi="Times New Roman" w:eastAsia="仿宋" w:cs="Times New Roman"/>
          <w:szCs w:val="21"/>
        </w:rPr>
        <w:fldChar w:fldCharType="begin"/>
      </w:r>
      <w:r>
        <w:rPr>
          <w:rFonts w:ascii="Times New Roman" w:hAnsi="Times New Roman" w:eastAsia="仿宋" w:cs="Times New Roman"/>
          <w:szCs w:val="21"/>
        </w:rPr>
        <w:instrText xml:space="preserve"> HYPERLINK \l _Toc19242 </w:instrText>
      </w:r>
      <w:r>
        <w:rPr>
          <w:rFonts w:ascii="Times New Roman" w:hAnsi="Times New Roman" w:eastAsia="仿宋" w:cs="Times New Roman"/>
          <w:szCs w:val="21"/>
        </w:rPr>
        <w:fldChar w:fldCharType="separate"/>
      </w:r>
      <w:r>
        <w:rPr>
          <w:rFonts w:hint="eastAsia"/>
          <w:szCs w:val="28"/>
        </w:rPr>
        <w:t>7. 变更控制</w:t>
      </w:r>
      <w:r>
        <w:tab/>
      </w:r>
      <w:r>
        <w:fldChar w:fldCharType="begin"/>
      </w:r>
      <w:r>
        <w:instrText xml:space="preserve"> PAGEREF _Toc19242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eastAsia="仿宋" w:cs="Times New Roman"/>
          <w:szCs w:val="21"/>
        </w:rPr>
        <w:fldChar w:fldCharType="end"/>
      </w:r>
    </w:p>
    <w:p>
      <w:pPr>
        <w:pStyle w:val="25"/>
        <w:tabs>
          <w:tab w:val="right" w:leader="dot" w:pos="8958"/>
        </w:tabs>
      </w:pPr>
      <w:r>
        <w:rPr>
          <w:rFonts w:ascii="Times New Roman" w:hAnsi="Times New Roman" w:eastAsia="仿宋" w:cs="Times New Roman"/>
          <w:szCs w:val="21"/>
        </w:rPr>
        <w:fldChar w:fldCharType="begin"/>
      </w:r>
      <w:r>
        <w:rPr>
          <w:rFonts w:ascii="Times New Roman" w:hAnsi="Times New Roman" w:eastAsia="仿宋" w:cs="Times New Roman"/>
          <w:szCs w:val="21"/>
        </w:rPr>
        <w:instrText xml:space="preserve"> HYPERLINK \l _Toc13107 </w:instrText>
      </w:r>
      <w:r>
        <w:rPr>
          <w:rFonts w:ascii="Times New Roman" w:hAnsi="Times New Roman" w:eastAsia="仿宋" w:cs="Times New Roman"/>
          <w:szCs w:val="21"/>
        </w:rPr>
        <w:fldChar w:fldCharType="separate"/>
      </w:r>
      <w:r>
        <w:rPr>
          <w:rFonts w:hint="eastAsia"/>
          <w:szCs w:val="28"/>
        </w:rPr>
        <w:t>8. 老化管理</w:t>
      </w:r>
      <w:r>
        <w:tab/>
      </w:r>
      <w:r>
        <w:fldChar w:fldCharType="begin"/>
      </w:r>
      <w:r>
        <w:instrText xml:space="preserve"> PAGEREF _Toc13107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eastAsia="仿宋" w:cs="Times New Roman"/>
          <w:szCs w:val="21"/>
        </w:rPr>
        <w:fldChar w:fldCharType="end"/>
      </w:r>
    </w:p>
    <w:p>
      <w:pPr>
        <w:pStyle w:val="25"/>
        <w:tabs>
          <w:tab w:val="right" w:leader="dot" w:pos="8958"/>
        </w:tabs>
      </w:pPr>
      <w:r>
        <w:rPr>
          <w:rFonts w:ascii="Times New Roman" w:hAnsi="Times New Roman" w:eastAsia="仿宋" w:cs="Times New Roman"/>
          <w:szCs w:val="21"/>
        </w:rPr>
        <w:fldChar w:fldCharType="begin"/>
      </w:r>
      <w:r>
        <w:rPr>
          <w:rFonts w:ascii="Times New Roman" w:hAnsi="Times New Roman" w:eastAsia="仿宋" w:cs="Times New Roman"/>
          <w:szCs w:val="21"/>
        </w:rPr>
        <w:instrText xml:space="preserve"> HYPERLINK \l _Toc31900 </w:instrText>
      </w:r>
      <w:r>
        <w:rPr>
          <w:rFonts w:ascii="Times New Roman" w:hAnsi="Times New Roman" w:eastAsia="仿宋" w:cs="Times New Roman"/>
          <w:szCs w:val="21"/>
        </w:rPr>
        <w:fldChar w:fldCharType="separate"/>
      </w:r>
      <w:r>
        <w:rPr>
          <w:rFonts w:hint="eastAsia"/>
          <w:szCs w:val="28"/>
        </w:rPr>
        <w:t>9. 标识和可追溯性管理</w:t>
      </w:r>
      <w:r>
        <w:tab/>
      </w:r>
      <w:r>
        <w:fldChar w:fldCharType="begin"/>
      </w:r>
      <w:r>
        <w:instrText xml:space="preserve"> PAGEREF _Toc31900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eastAsia="仿宋" w:cs="Times New Roman"/>
          <w:szCs w:val="21"/>
        </w:rPr>
        <w:fldChar w:fldCharType="end"/>
      </w:r>
    </w:p>
    <w:p>
      <w:pPr>
        <w:pStyle w:val="25"/>
        <w:tabs>
          <w:tab w:val="right" w:leader="dot" w:pos="8958"/>
        </w:tabs>
      </w:pPr>
      <w:r>
        <w:rPr>
          <w:rFonts w:ascii="Times New Roman" w:hAnsi="Times New Roman" w:eastAsia="仿宋" w:cs="Times New Roman"/>
          <w:szCs w:val="21"/>
        </w:rPr>
        <w:fldChar w:fldCharType="begin"/>
      </w:r>
      <w:r>
        <w:rPr>
          <w:rFonts w:ascii="Times New Roman" w:hAnsi="Times New Roman" w:eastAsia="仿宋" w:cs="Times New Roman"/>
          <w:szCs w:val="21"/>
        </w:rPr>
        <w:instrText xml:space="preserve"> HYPERLINK \l _Toc12548 </w:instrText>
      </w:r>
      <w:r>
        <w:rPr>
          <w:rFonts w:ascii="Times New Roman" w:hAnsi="Times New Roman" w:eastAsia="仿宋" w:cs="Times New Roman"/>
          <w:szCs w:val="21"/>
        </w:rPr>
        <w:fldChar w:fldCharType="separate"/>
      </w:r>
      <w:r>
        <w:rPr>
          <w:rFonts w:hint="eastAsia"/>
          <w:szCs w:val="28"/>
        </w:rPr>
        <w:t>10. 产品防护要求</w:t>
      </w:r>
      <w:r>
        <w:tab/>
      </w:r>
      <w:r>
        <w:fldChar w:fldCharType="begin"/>
      </w:r>
      <w:r>
        <w:instrText xml:space="preserve"> PAGEREF _Toc12548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eastAsia="仿宋" w:cs="Times New Roman"/>
          <w:szCs w:val="21"/>
        </w:rPr>
        <w:fldChar w:fldCharType="end"/>
      </w:r>
    </w:p>
    <w:p>
      <w:pPr>
        <w:pStyle w:val="31"/>
        <w:tabs>
          <w:tab w:val="right" w:leader="dot" w:pos="8958"/>
        </w:tabs>
      </w:pPr>
      <w:r>
        <w:rPr>
          <w:rFonts w:ascii="Times New Roman" w:hAnsi="Times New Roman" w:eastAsia="仿宋" w:cs="Times New Roman"/>
          <w:szCs w:val="21"/>
        </w:rPr>
        <w:fldChar w:fldCharType="begin"/>
      </w:r>
      <w:r>
        <w:rPr>
          <w:rFonts w:ascii="Times New Roman" w:hAnsi="Times New Roman" w:eastAsia="仿宋" w:cs="Times New Roman"/>
          <w:szCs w:val="21"/>
        </w:rPr>
        <w:instrText xml:space="preserve"> HYPERLINK \l _Toc25165 </w:instrText>
      </w:r>
      <w:r>
        <w:rPr>
          <w:rFonts w:ascii="Times New Roman" w:hAnsi="Times New Roman" w:eastAsia="仿宋" w:cs="Times New Roman"/>
          <w:szCs w:val="21"/>
        </w:rPr>
        <w:fldChar w:fldCharType="separate"/>
      </w:r>
      <w:r>
        <w:rPr>
          <w:rFonts w:hint="eastAsia"/>
          <w:szCs w:val="24"/>
        </w:rPr>
        <w:t>10.1 生产过程中的防护要求</w:t>
      </w:r>
      <w:r>
        <w:tab/>
      </w:r>
      <w:r>
        <w:fldChar w:fldCharType="begin"/>
      </w:r>
      <w:r>
        <w:instrText xml:space="preserve"> PAGEREF _Toc25165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eastAsia="仿宋" w:cs="Times New Roman"/>
          <w:szCs w:val="21"/>
        </w:rPr>
        <w:fldChar w:fldCharType="end"/>
      </w:r>
    </w:p>
    <w:p>
      <w:pPr>
        <w:pStyle w:val="31"/>
        <w:tabs>
          <w:tab w:val="right" w:leader="dot" w:pos="8958"/>
        </w:tabs>
      </w:pPr>
      <w:r>
        <w:rPr>
          <w:rFonts w:ascii="Times New Roman" w:hAnsi="Times New Roman" w:eastAsia="仿宋" w:cs="Times New Roman"/>
          <w:szCs w:val="21"/>
        </w:rPr>
        <w:fldChar w:fldCharType="begin"/>
      </w:r>
      <w:r>
        <w:rPr>
          <w:rFonts w:ascii="Times New Roman" w:hAnsi="Times New Roman" w:eastAsia="仿宋" w:cs="Times New Roman"/>
          <w:szCs w:val="21"/>
        </w:rPr>
        <w:instrText xml:space="preserve"> HYPERLINK \l _Toc8612 </w:instrText>
      </w:r>
      <w:r>
        <w:rPr>
          <w:rFonts w:ascii="Times New Roman" w:hAnsi="Times New Roman" w:eastAsia="仿宋" w:cs="Times New Roman"/>
          <w:szCs w:val="21"/>
        </w:rPr>
        <w:fldChar w:fldCharType="separate"/>
      </w:r>
      <w:r>
        <w:rPr>
          <w:rFonts w:hint="eastAsia"/>
          <w:szCs w:val="24"/>
        </w:rPr>
        <w:t>10.2 包装和运输要求</w:t>
      </w:r>
      <w:r>
        <w:tab/>
      </w:r>
      <w:r>
        <w:fldChar w:fldCharType="begin"/>
      </w:r>
      <w:r>
        <w:instrText xml:space="preserve"> PAGEREF _Toc8612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eastAsia="仿宋" w:cs="Times New Roman"/>
          <w:szCs w:val="21"/>
        </w:rPr>
        <w:fldChar w:fldCharType="end"/>
      </w:r>
    </w:p>
    <w:p>
      <w:pPr>
        <w:pStyle w:val="25"/>
        <w:tabs>
          <w:tab w:val="right" w:leader="dot" w:pos="8958"/>
        </w:tabs>
      </w:pPr>
      <w:r>
        <w:rPr>
          <w:rFonts w:ascii="Times New Roman" w:hAnsi="Times New Roman" w:eastAsia="仿宋" w:cs="Times New Roman"/>
          <w:szCs w:val="21"/>
        </w:rPr>
        <w:fldChar w:fldCharType="begin"/>
      </w:r>
      <w:r>
        <w:rPr>
          <w:rFonts w:ascii="Times New Roman" w:hAnsi="Times New Roman" w:eastAsia="仿宋" w:cs="Times New Roman"/>
          <w:szCs w:val="21"/>
        </w:rPr>
        <w:instrText xml:space="preserve"> HYPERLINK \l _Toc28157 </w:instrText>
      </w:r>
      <w:r>
        <w:rPr>
          <w:rFonts w:ascii="Times New Roman" w:hAnsi="Times New Roman" w:eastAsia="仿宋" w:cs="Times New Roman"/>
          <w:szCs w:val="21"/>
        </w:rPr>
        <w:fldChar w:fldCharType="separate"/>
      </w:r>
      <w:r>
        <w:rPr>
          <w:rFonts w:hint="eastAsia"/>
          <w:szCs w:val="28"/>
        </w:rPr>
        <w:t>11. 主要风险及管控措施</w:t>
      </w:r>
      <w:r>
        <w:tab/>
      </w:r>
      <w:r>
        <w:fldChar w:fldCharType="begin"/>
      </w:r>
      <w:r>
        <w:instrText xml:space="preserve"> PAGEREF _Toc28157 \h </w:instrText>
      </w:r>
      <w:r>
        <w:fldChar w:fldCharType="separate"/>
      </w:r>
      <w:r>
        <w:t>3</w:t>
      </w:r>
      <w:r>
        <w:fldChar w:fldCharType="end"/>
      </w:r>
      <w:r>
        <w:rPr>
          <w:rFonts w:ascii="Times New Roman" w:hAnsi="Times New Roman" w:eastAsia="仿宋" w:cs="Times New Roman"/>
          <w:szCs w:val="21"/>
        </w:rPr>
        <w:fldChar w:fldCharType="end"/>
      </w:r>
    </w:p>
    <w:p>
      <w:pPr>
        <w:spacing w:line="240" w:lineRule="auto"/>
        <w:rPr>
          <w:rFonts w:ascii="Times New Roman" w:hAnsi="Times New Roman" w:eastAsia="仿宋" w:cs="Times New Roman"/>
        </w:rPr>
      </w:pPr>
      <w:r>
        <w:rPr>
          <w:rFonts w:ascii="Times New Roman" w:hAnsi="Times New Roman" w:eastAsia="仿宋" w:cs="Times New Roman"/>
          <w:szCs w:val="21"/>
        </w:rPr>
        <w:fldChar w:fldCharType="end"/>
      </w:r>
    </w:p>
    <w:p>
      <w:pPr>
        <w:spacing w:line="240" w:lineRule="auto"/>
        <w:rPr>
          <w:rFonts w:ascii="Times New Roman" w:hAnsi="Times New Roman" w:eastAsia="仿宋" w:cs="Times New Roman"/>
        </w:rPr>
      </w:pPr>
    </w:p>
    <w:p>
      <w:pPr>
        <w:spacing w:line="240" w:lineRule="auto"/>
        <w:rPr>
          <w:rFonts w:ascii="Times New Roman" w:hAnsi="Times New Roman" w:eastAsia="仿宋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  <w:sectPr>
          <w:footerReference r:id="rId10" w:type="default"/>
          <w:pgSz w:w="11907" w:h="16840"/>
          <w:pgMar w:top="1571" w:right="1191" w:bottom="1247" w:left="1191" w:header="851" w:footer="567" w:gutter="567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upperRoman"/>
          <w:cols w:space="720" w:num="1"/>
          <w:docGrid w:linePitch="286" w:charSpace="535"/>
        </w:sectPr>
      </w:pPr>
    </w:p>
    <w:p>
      <w:pPr>
        <w:pStyle w:val="2"/>
        <w:ind w:left="432" w:hanging="432"/>
        <w:rPr>
          <w:sz w:val="28"/>
          <w:szCs w:val="28"/>
        </w:rPr>
      </w:pPr>
      <w:bookmarkStart w:id="0" w:name="_Toc19971"/>
      <w:bookmarkStart w:id="1" w:name="_Toc10037"/>
      <w:r>
        <w:rPr>
          <w:rFonts w:hint="eastAsia"/>
          <w:sz w:val="28"/>
          <w:szCs w:val="28"/>
        </w:rPr>
        <w:t>产品简介</w:t>
      </w:r>
      <w:bookmarkEnd w:id="0"/>
      <w:bookmarkEnd w:id="1"/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巡检图像采集软件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用于</w:t>
      </w:r>
      <w:r>
        <w:rPr>
          <w:rFonts w:hint="eastAsia" w:ascii="宋体" w:hAnsi="宋体" w:eastAsia="宋体" w:cs="宋体"/>
          <w:sz w:val="24"/>
          <w:szCs w:val="24"/>
        </w:rPr>
        <w:t>采集钢轨、扣件、轨道板、轨枕、道床、轨旁信号设备和应答器等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铁路基础设施</w:t>
      </w:r>
      <w:r>
        <w:rPr>
          <w:rFonts w:hint="eastAsia" w:ascii="宋体" w:hAnsi="宋体" w:eastAsia="宋体" w:cs="宋体"/>
          <w:sz w:val="24"/>
          <w:szCs w:val="24"/>
        </w:rPr>
        <w:t>外观状态图像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，并将图像数据存储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于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本地磁盘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当中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。软件界面如图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1.1.1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所示，主要包括菜单栏、控制按钮、信息栏、日志栏及显示区域。</w:t>
      </w:r>
    </w:p>
    <w:p>
      <w:pPr>
        <w:jc w:val="center"/>
        <w:rPr>
          <w:rFonts w:hint="eastAsia" w:eastAsiaTheme="minorEastAsia"/>
          <w:sz w:val="18"/>
          <w:szCs w:val="18"/>
          <w:lang w:eastAsia="zh-CN"/>
        </w:rPr>
      </w:pPr>
      <w:r>
        <w:rPr>
          <w:rFonts w:hint="eastAsia" w:eastAsiaTheme="minorEastAsia"/>
          <w:sz w:val="18"/>
          <w:szCs w:val="18"/>
          <w:lang w:eastAsia="zh-CN"/>
        </w:rPr>
        <w:drawing>
          <wp:inline distT="0" distB="0" distL="114300" distR="114300">
            <wp:extent cx="5677535" cy="3096895"/>
            <wp:effectExtent l="0" t="0" r="6985" b="12065"/>
            <wp:docPr id="1" name="图片 1" descr="巡检采集软件界面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巡检采集软件界面0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77535" cy="309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Ansi="宋体"/>
          <w:color w:val="FF0000"/>
          <w:szCs w:val="21"/>
        </w:rPr>
      </w:pPr>
      <w:r>
        <w:rPr>
          <w:rFonts w:hint="eastAsia" w:hAnsi="宋体"/>
          <w:szCs w:val="21"/>
        </w:rPr>
        <w:t>图1.1</w:t>
      </w:r>
      <w:bookmarkStart w:id="2" w:name="_Hlk5566880"/>
      <w:r>
        <w:rPr>
          <w:rFonts w:hint="eastAsia" w:hAnsi="宋体"/>
          <w:szCs w:val="21"/>
          <w:lang w:val="en-US" w:eastAsia="zh-CN"/>
        </w:rPr>
        <w:t>.1</w:t>
      </w:r>
      <w:r>
        <w:rPr>
          <w:rFonts w:hint="eastAsia" w:hAnsi="宋体"/>
          <w:szCs w:val="21"/>
        </w:rPr>
        <w:t xml:space="preserve">  </w:t>
      </w:r>
      <w:bookmarkEnd w:id="2"/>
      <w:r>
        <w:rPr>
          <w:rFonts w:hint="eastAsia" w:hAnsi="宋体"/>
          <w:szCs w:val="21"/>
        </w:rPr>
        <w:t>巡检图像采集软件</w:t>
      </w:r>
      <w:r>
        <w:rPr>
          <w:rFonts w:hint="eastAsia" w:hAnsi="宋体"/>
          <w:szCs w:val="21"/>
          <w:lang w:val="en-US" w:eastAsia="zh-CN"/>
        </w:rPr>
        <w:t>界面</w:t>
      </w:r>
    </w:p>
    <w:p>
      <w:pPr>
        <w:pStyle w:val="2"/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31" w:hanging="431"/>
        <w:textAlignment w:val="auto"/>
        <w:rPr>
          <w:sz w:val="28"/>
          <w:szCs w:val="28"/>
        </w:rPr>
      </w:pPr>
      <w:bookmarkStart w:id="3" w:name="_Toc7877"/>
      <w:bookmarkStart w:id="4" w:name="_Toc8556"/>
      <w:bookmarkStart w:id="5" w:name="_Toc4654"/>
      <w:r>
        <w:rPr>
          <w:rFonts w:hint="eastAsia"/>
          <w:sz w:val="28"/>
          <w:szCs w:val="28"/>
        </w:rPr>
        <w:t>组成清单</w:t>
      </w:r>
      <w:bookmarkEnd w:id="3"/>
      <w:bookmarkEnd w:id="4"/>
      <w:bookmarkEnd w:id="5"/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每套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巡检图像采集软件</w:t>
      </w:r>
      <w:r>
        <w:rPr>
          <w:rFonts w:hint="eastAsia" w:ascii="宋体" w:hAnsi="宋体" w:eastAsia="宋体" w:cs="宋体"/>
          <w:sz w:val="24"/>
          <w:szCs w:val="24"/>
        </w:rPr>
        <w:t>所含子件清单见表2.1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.1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jc w:val="center"/>
        <w:rPr>
          <w:rFonts w:hAnsi="宋体"/>
          <w:szCs w:val="21"/>
        </w:rPr>
      </w:pPr>
      <w:r>
        <w:rPr>
          <w:rFonts w:hint="eastAsia" w:hAnsi="宋体"/>
          <w:szCs w:val="21"/>
        </w:rPr>
        <w:t>表2.1</w:t>
      </w:r>
      <w:r>
        <w:rPr>
          <w:rFonts w:hint="eastAsia" w:hAnsi="宋体"/>
          <w:szCs w:val="21"/>
          <w:lang w:val="en-US" w:eastAsia="zh-CN"/>
        </w:rPr>
        <w:t>.1</w:t>
      </w:r>
      <w:r>
        <w:rPr>
          <w:rFonts w:hint="eastAsia" w:hAnsi="宋体"/>
          <w:szCs w:val="21"/>
        </w:rPr>
        <w:t xml:space="preserve">  </w:t>
      </w:r>
      <w:r>
        <w:rPr>
          <w:rFonts w:hint="eastAsia" w:hAnsi="宋体"/>
          <w:szCs w:val="21"/>
          <w:lang w:eastAsia="zh-CN"/>
        </w:rPr>
        <w:t>巡检图像采集软件</w:t>
      </w:r>
      <w:r>
        <w:rPr>
          <w:rFonts w:hint="eastAsia" w:hAnsi="宋体"/>
          <w:szCs w:val="21"/>
        </w:rPr>
        <w:t>子件清单</w:t>
      </w:r>
    </w:p>
    <w:tbl>
      <w:tblPr>
        <w:tblStyle w:val="36"/>
        <w:tblW w:w="4996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987"/>
        <w:gridCol w:w="1213"/>
        <w:gridCol w:w="1139"/>
        <w:gridCol w:w="1066"/>
        <w:gridCol w:w="730"/>
        <w:gridCol w:w="769"/>
        <w:gridCol w:w="153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083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一级子件</w:t>
            </w:r>
          </w:p>
        </w:tc>
        <w:tc>
          <w:tcPr>
            <w:tcW w:w="661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品牌</w:t>
            </w:r>
          </w:p>
        </w:tc>
        <w:tc>
          <w:tcPr>
            <w:tcW w:w="621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</w:tc>
        <w:tc>
          <w:tcPr>
            <w:tcW w:w="581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398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419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</w:p>
        </w:tc>
        <w:tc>
          <w:tcPr>
            <w:tcW w:w="837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1083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巡检图像采集软件</w:t>
            </w:r>
          </w:p>
          <w:p>
            <w:pPr>
              <w:spacing w:line="240" w:lineRule="auto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（TMAS）</w:t>
            </w:r>
          </w:p>
        </w:tc>
        <w:tc>
          <w:tcPr>
            <w:tcW w:w="661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621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581" w:type="pc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398" w:type="pct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419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套</w:t>
            </w:r>
          </w:p>
        </w:tc>
        <w:tc>
          <w:tcPr>
            <w:tcW w:w="837" w:type="pct"/>
            <w:tcBorders>
              <w:tl2br w:val="nil"/>
              <w:tr2bl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版本号：</w:t>
            </w:r>
            <w:r>
              <w:rPr>
                <w:rFonts w:hint="eastAsia"/>
                <w:szCs w:val="21"/>
              </w:rPr>
              <w:t>V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.0</w:t>
            </w:r>
          </w:p>
        </w:tc>
      </w:tr>
    </w:tbl>
    <w:p>
      <w:pPr>
        <w:rPr>
          <w:rFonts w:ascii="宋体" w:hAnsi="宋体" w:eastAsia="宋体" w:cs="宋体"/>
          <w:sz w:val="24"/>
          <w:szCs w:val="24"/>
        </w:rPr>
      </w:pPr>
    </w:p>
    <w:p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每套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巡检图像采集软件</w:t>
      </w:r>
      <w:r>
        <w:rPr>
          <w:rFonts w:hint="eastAsia" w:ascii="宋体" w:hAnsi="宋体" w:eastAsia="宋体" w:cs="宋体"/>
          <w:sz w:val="24"/>
          <w:szCs w:val="24"/>
        </w:rPr>
        <w:t>所含配件清单见表2.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2。</w:t>
      </w:r>
    </w:p>
    <w:p>
      <w:pPr>
        <w:jc w:val="center"/>
      </w:pPr>
      <w:r>
        <w:rPr>
          <w:rFonts w:hint="eastAsia"/>
        </w:rPr>
        <w:t>表2.</w:t>
      </w:r>
      <w:r>
        <w:rPr>
          <w:rFonts w:hint="eastAsia"/>
          <w:lang w:val="en-US" w:eastAsia="zh-CN"/>
        </w:rPr>
        <w:t>1.</w:t>
      </w:r>
      <w:r>
        <w:rPr>
          <w:rFonts w:hint="eastAsia"/>
        </w:rPr>
        <w:t xml:space="preserve">2  </w:t>
      </w:r>
      <w:r>
        <w:rPr>
          <w:rFonts w:hint="eastAsia"/>
          <w:lang w:eastAsia="zh-CN"/>
        </w:rPr>
        <w:t>巡检图像采集软件</w:t>
      </w:r>
      <w:r>
        <w:rPr>
          <w:rFonts w:hint="eastAsia"/>
        </w:rPr>
        <w:t>配件清单</w:t>
      </w:r>
    </w:p>
    <w:tbl>
      <w:tblPr>
        <w:tblStyle w:val="36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83"/>
        <w:gridCol w:w="2172"/>
        <w:gridCol w:w="899"/>
        <w:gridCol w:w="1465"/>
        <w:gridCol w:w="863"/>
        <w:gridCol w:w="731"/>
        <w:gridCol w:w="754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7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19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部件名称</w:t>
            </w:r>
          </w:p>
        </w:tc>
        <w:tc>
          <w:tcPr>
            <w:tcW w:w="49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品牌</w:t>
            </w:r>
          </w:p>
        </w:tc>
        <w:tc>
          <w:tcPr>
            <w:tcW w:w="8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</w:tc>
        <w:tc>
          <w:tcPr>
            <w:tcW w:w="47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bookmarkStart w:id="6" w:name="_Toc18598"/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  <w:bookmarkEnd w:id="6"/>
          </w:p>
        </w:tc>
        <w:tc>
          <w:tcPr>
            <w:tcW w:w="41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bookmarkStart w:id="7" w:name="_Toc22109"/>
            <w:bookmarkStart w:id="8" w:name="_Toc10175"/>
            <w:r>
              <w:rPr>
                <w:rFonts w:hint="eastAsia"/>
                <w:szCs w:val="21"/>
              </w:rPr>
              <w:t>单位</w:t>
            </w:r>
            <w:bookmarkEnd w:id="7"/>
          </w:p>
        </w:tc>
        <w:tc>
          <w:tcPr>
            <w:tcW w:w="8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7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19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bookmarkStart w:id="9" w:name="_Toc30791"/>
            <w:r>
              <w:rPr>
                <w:rFonts w:hint="eastAsia"/>
                <w:szCs w:val="21"/>
              </w:rPr>
              <w:t>加密狗</w:t>
            </w:r>
            <w:bookmarkEnd w:id="9"/>
          </w:p>
        </w:tc>
        <w:tc>
          <w:tcPr>
            <w:tcW w:w="49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Sentinel</w:t>
            </w:r>
          </w:p>
        </w:tc>
        <w:tc>
          <w:tcPr>
            <w:tcW w:w="8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HL Micromax</w:t>
            </w:r>
          </w:p>
        </w:tc>
        <w:tc>
          <w:tcPr>
            <w:tcW w:w="47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bookmarkStart w:id="10" w:name="_Toc1887"/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bookmarkEnd w:id="10"/>
          </w:p>
        </w:tc>
        <w:tc>
          <w:tcPr>
            <w:tcW w:w="41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bookmarkStart w:id="11" w:name="_Toc30072"/>
            <w:r>
              <w:rPr>
                <w:rFonts w:hint="eastAsia"/>
                <w:szCs w:val="21"/>
              </w:rPr>
              <w:t>个</w:t>
            </w:r>
          </w:p>
        </w:tc>
        <w:tc>
          <w:tcPr>
            <w:tcW w:w="8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软件加密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37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19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电子光盘/U盘</w:t>
            </w:r>
          </w:p>
        </w:tc>
        <w:tc>
          <w:tcPr>
            <w:tcW w:w="49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80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47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415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个</w:t>
            </w:r>
          </w:p>
        </w:tc>
        <w:tc>
          <w:tcPr>
            <w:tcW w:w="827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软件</w:t>
            </w:r>
            <w:r>
              <w:rPr>
                <w:rFonts w:hint="eastAsia"/>
                <w:szCs w:val="21"/>
                <w:lang w:val="en-US" w:eastAsia="zh-CN"/>
              </w:rPr>
              <w:t>及</w:t>
            </w:r>
            <w:r>
              <w:rPr>
                <w:rFonts w:hint="eastAsia"/>
                <w:szCs w:val="21"/>
              </w:rPr>
              <w:t>驱动</w:t>
            </w:r>
            <w:r>
              <w:rPr>
                <w:rFonts w:hint="eastAsia"/>
                <w:szCs w:val="21"/>
                <w:lang w:val="en-US" w:eastAsia="zh-CN"/>
              </w:rPr>
              <w:t>安装包</w:t>
            </w:r>
          </w:p>
        </w:tc>
      </w:tr>
    </w:tbl>
    <w:p>
      <w:pPr>
        <w:jc w:val="center"/>
      </w:pPr>
    </w:p>
    <w:p>
      <w:pPr>
        <w:pStyle w:val="2"/>
        <w:ind w:left="432" w:hanging="432"/>
        <w:rPr>
          <w:sz w:val="28"/>
          <w:szCs w:val="28"/>
        </w:rPr>
      </w:pPr>
      <w:bookmarkStart w:id="12" w:name="_Toc3223"/>
      <w:bookmarkStart w:id="13" w:name="_Toc27067"/>
      <w:bookmarkStart w:id="14" w:name="_Toc886"/>
      <w:r>
        <w:rPr>
          <w:rFonts w:hint="eastAsia"/>
          <w:sz w:val="28"/>
          <w:szCs w:val="28"/>
        </w:rPr>
        <w:t>技术要求</w:t>
      </w:r>
      <w:bookmarkEnd w:id="12"/>
      <w:bookmarkEnd w:id="13"/>
      <w:bookmarkEnd w:id="14"/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巡检图像采集软件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总体要求</w:t>
      </w:r>
      <w:r>
        <w:rPr>
          <w:rFonts w:hint="eastAsia" w:ascii="宋体" w:hAnsi="宋体" w:eastAsia="宋体" w:cs="宋体"/>
          <w:sz w:val="24"/>
          <w:szCs w:val="24"/>
        </w:rPr>
        <w:t>见表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.1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>表3.1.1  巡检图像采集软件总体要求</w:t>
      </w:r>
    </w:p>
    <w:tbl>
      <w:tblPr>
        <w:tblStyle w:val="3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7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4" w:type="pct"/>
            <w:shd w:val="clear" w:color="auto" w:fill="auto"/>
            <w:vAlign w:val="center"/>
          </w:tcPr>
          <w:p>
            <w:pPr>
              <w:snapToGrid w:val="0"/>
              <w:spacing w:line="360" w:lineRule="exact"/>
            </w:pPr>
            <w:r>
              <w:t>■操作系统</w:t>
            </w:r>
          </w:p>
        </w:tc>
        <w:tc>
          <w:tcPr>
            <w:tcW w:w="3835" w:type="pct"/>
            <w:shd w:val="clear" w:color="auto" w:fill="auto"/>
            <w:vAlign w:val="center"/>
          </w:tcPr>
          <w:p>
            <w:pPr>
              <w:snapToGrid w:val="0"/>
              <w:spacing w:line="360" w:lineRule="exact"/>
              <w:rPr>
                <w:rFonts w:ascii="Arial" w:hAnsi="Arial" w:cs="Arial"/>
                <w:szCs w:val="21"/>
              </w:rPr>
            </w:pPr>
            <w:r>
              <w:t xml:space="preserve">Windows </w:t>
            </w:r>
            <w:r>
              <w:rPr>
                <w:rFonts w:hint="eastAsia"/>
              </w:rPr>
              <w:t xml:space="preserve">10 Pro </w:t>
            </w:r>
            <w:r>
              <w:rPr>
                <w:rFonts w:hint="eastAsia" w:ascii="Arial" w:hAnsi="Arial" w:cs="Arial"/>
                <w:szCs w:val="21"/>
              </w:rPr>
              <w:t>中文版</w:t>
            </w:r>
            <w:r>
              <w:rPr>
                <w:rFonts w:hint="eastAsia"/>
              </w:rPr>
              <w:t>64</w:t>
            </w:r>
            <w:r>
              <w:rPr>
                <w:rFonts w:hint="eastAsia" w:ascii="Arial" w:hAnsi="Arial" w:cs="Arial"/>
                <w:szCs w:val="21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4" w:type="pct"/>
            <w:shd w:val="clear" w:color="auto" w:fill="auto"/>
            <w:vAlign w:val="center"/>
          </w:tcPr>
          <w:p>
            <w:pPr>
              <w:snapToGrid w:val="0"/>
              <w:spacing w:line="360" w:lineRule="exact"/>
            </w:pPr>
            <w:r>
              <w:t>■处理器</w:t>
            </w:r>
          </w:p>
        </w:tc>
        <w:tc>
          <w:tcPr>
            <w:tcW w:w="3835" w:type="pct"/>
            <w:shd w:val="clear" w:color="auto" w:fill="auto"/>
            <w:vAlign w:val="center"/>
          </w:tcPr>
          <w:p>
            <w:pPr>
              <w:snapToGrid w:val="0"/>
              <w:spacing w:line="360" w:lineRule="exact"/>
            </w:pPr>
            <w:r>
              <w:t>Intel Core i7 主频3.3GHz</w:t>
            </w:r>
            <w:r>
              <w:rPr>
                <w:rFonts w:hint="eastAsia" w:ascii="Arial" w:hAnsi="Arial"/>
              </w:rPr>
              <w:t>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4" w:type="pct"/>
            <w:shd w:val="clear" w:color="auto" w:fill="auto"/>
            <w:vAlign w:val="center"/>
          </w:tcPr>
          <w:p>
            <w:pPr>
              <w:snapToGrid w:val="0"/>
              <w:spacing w:line="360" w:lineRule="exact"/>
              <w:rPr>
                <w:rFonts w:ascii="Arial" w:hAnsi="Arial" w:cs="Arial"/>
                <w:szCs w:val="21"/>
              </w:rPr>
            </w:pPr>
            <w:r>
              <w:t>■芯片组</w:t>
            </w:r>
          </w:p>
        </w:tc>
        <w:tc>
          <w:tcPr>
            <w:tcW w:w="3835" w:type="pct"/>
            <w:shd w:val="clear" w:color="auto" w:fill="auto"/>
            <w:vAlign w:val="center"/>
          </w:tcPr>
          <w:p>
            <w:pPr>
              <w:snapToGrid w:val="0"/>
              <w:spacing w:line="360" w:lineRule="exact"/>
              <w:rPr>
                <w:rFonts w:ascii="Arial" w:hAnsi="Arial" w:cs="Arial"/>
                <w:szCs w:val="21"/>
              </w:rPr>
            </w:pPr>
            <w:r>
              <w:t>Intel QM77</w:t>
            </w:r>
            <w:r>
              <w:rPr>
                <w:rFonts w:hint="eastAsia"/>
              </w:rPr>
              <w:t>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4" w:type="pct"/>
            <w:shd w:val="clear" w:color="auto" w:fill="auto"/>
            <w:vAlign w:val="center"/>
          </w:tcPr>
          <w:p>
            <w:pPr>
              <w:snapToGrid w:val="0"/>
              <w:spacing w:line="360" w:lineRule="exact"/>
            </w:pPr>
            <w:r>
              <w:t>■</w:t>
            </w:r>
            <w:r>
              <w:rPr>
                <w:rFonts w:hint="eastAsia"/>
              </w:rPr>
              <w:t>相机接口</w:t>
            </w:r>
          </w:p>
        </w:tc>
        <w:tc>
          <w:tcPr>
            <w:tcW w:w="3835" w:type="pct"/>
            <w:shd w:val="clear" w:color="auto" w:fill="auto"/>
            <w:vAlign w:val="center"/>
          </w:tcPr>
          <w:p>
            <w:pPr>
              <w:snapToGrid w:val="0"/>
              <w:spacing w:line="360" w:lineRule="exact"/>
            </w:pPr>
            <w:r>
              <w:rPr>
                <w:rFonts w:hint="eastAsia"/>
              </w:rPr>
              <w:t>支持不少于4路GigE线阵相机同步采集存储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4" w:type="pct"/>
            <w:shd w:val="clear" w:color="auto" w:fill="auto"/>
            <w:vAlign w:val="center"/>
          </w:tcPr>
          <w:p>
            <w:pPr>
              <w:snapToGrid w:val="0"/>
              <w:spacing w:line="360" w:lineRule="exact"/>
            </w:pPr>
            <w:r>
              <w:t>■</w:t>
            </w:r>
            <w:r>
              <w:rPr>
                <w:rFonts w:hint="eastAsia"/>
              </w:rPr>
              <w:t>采集性能</w:t>
            </w:r>
          </w:p>
        </w:tc>
        <w:tc>
          <w:tcPr>
            <w:tcW w:w="3835" w:type="pct"/>
            <w:shd w:val="clear" w:color="auto" w:fill="auto"/>
            <w:vAlign w:val="center"/>
          </w:tcPr>
          <w:p>
            <w:pPr>
              <w:snapToGrid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最高采集频率不低于40KHz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4" w:type="pct"/>
            <w:shd w:val="clear" w:color="auto" w:fill="auto"/>
            <w:vAlign w:val="center"/>
          </w:tcPr>
          <w:p>
            <w:pPr>
              <w:snapToGrid w:val="0"/>
              <w:spacing w:line="360" w:lineRule="exact"/>
              <w:rPr>
                <w:rFonts w:ascii="Arial" w:hAnsi="Arial" w:cs="Arial"/>
                <w:szCs w:val="21"/>
              </w:rPr>
            </w:pPr>
            <w:r>
              <w:t>■内存</w:t>
            </w:r>
          </w:p>
        </w:tc>
        <w:tc>
          <w:tcPr>
            <w:tcW w:w="3835" w:type="pct"/>
            <w:shd w:val="clear" w:color="auto" w:fill="auto"/>
            <w:vAlign w:val="center"/>
          </w:tcPr>
          <w:p>
            <w:pPr>
              <w:snapToGrid w:val="0"/>
              <w:spacing w:line="360" w:lineRule="exact"/>
              <w:rPr>
                <w:rFonts w:ascii="Arial" w:hAnsi="Arial" w:cs="Arial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≥4GB DDR3 双通道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4" w:type="pct"/>
            <w:shd w:val="clear" w:color="auto" w:fill="auto"/>
            <w:vAlign w:val="center"/>
          </w:tcPr>
          <w:p>
            <w:pPr>
              <w:snapToGrid w:val="0"/>
              <w:spacing w:line="360" w:lineRule="exact"/>
            </w:pPr>
            <w:r>
              <w:t>■数据存储</w:t>
            </w:r>
          </w:p>
        </w:tc>
        <w:tc>
          <w:tcPr>
            <w:tcW w:w="3835" w:type="pct"/>
            <w:shd w:val="clear" w:color="auto" w:fill="auto"/>
            <w:vAlign w:val="center"/>
          </w:tcPr>
          <w:p>
            <w:pPr>
              <w:snapToGrid w:val="0"/>
              <w:spacing w:line="360" w:lineRule="exact"/>
            </w:pPr>
            <w:r>
              <w:rPr>
                <w:rFonts w:hint="eastAsia"/>
              </w:rPr>
              <w:t>不低于4小时的数据连续</w:t>
            </w:r>
            <w:r>
              <w:rPr>
                <w:rFonts w:hint="eastAsia" w:ascii="Arial" w:hAnsi="Arial"/>
              </w:rPr>
              <w:t>采集</w:t>
            </w:r>
            <w:r>
              <w:rPr>
                <w:rFonts w:hint="eastAsia"/>
              </w:rPr>
              <w:t>存储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64" w:type="pct"/>
            <w:shd w:val="clear" w:color="auto" w:fill="auto"/>
            <w:vAlign w:val="center"/>
          </w:tcPr>
          <w:p>
            <w:pPr>
              <w:snapToGrid w:val="0"/>
              <w:spacing w:line="360" w:lineRule="exact"/>
            </w:pPr>
            <w:r>
              <w:rPr>
                <w:rFonts w:hint="eastAsia"/>
              </w:rPr>
              <w:t>■网卡</w:t>
            </w:r>
          </w:p>
        </w:tc>
        <w:tc>
          <w:tcPr>
            <w:tcW w:w="3835" w:type="pct"/>
            <w:shd w:val="clear" w:color="auto" w:fill="auto"/>
            <w:vAlign w:val="center"/>
          </w:tcPr>
          <w:p>
            <w:pPr>
              <w:snapToGrid w:val="0"/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四口千兆intel I210或 I350电口网卡</w:t>
            </w:r>
          </w:p>
        </w:tc>
      </w:tr>
    </w:tbl>
    <w:p>
      <w:pPr>
        <w:ind w:firstLine="420" w:firstLineChars="200"/>
        <w:rPr>
          <w:rFonts w:hint="eastAsia"/>
          <w:szCs w:val="21"/>
        </w:rPr>
      </w:pPr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巡检图像采集软件功能要求见表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.2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jc w:val="center"/>
        <w:rPr>
          <w:rFonts w:hint="eastAsia"/>
        </w:rPr>
      </w:pPr>
      <w:r>
        <w:rPr>
          <w:rFonts w:hint="eastAsia"/>
        </w:rPr>
        <w:t>表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.1</w:t>
      </w:r>
      <w:r>
        <w:rPr>
          <w:rFonts w:hint="eastAsia"/>
          <w:lang w:val="en-US" w:eastAsia="zh-CN"/>
        </w:rPr>
        <w:t>.2</w:t>
      </w:r>
      <w:r>
        <w:rPr>
          <w:rFonts w:hint="eastAsia"/>
        </w:rPr>
        <w:t xml:space="preserve">  巡检图像采集软件功能要求</w:t>
      </w:r>
    </w:p>
    <w:tbl>
      <w:tblPr>
        <w:tblStyle w:val="36"/>
        <w:tblW w:w="49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683"/>
        <w:gridCol w:w="2468"/>
        <w:gridCol w:w="4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1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918" w:type="pc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软件选项</w:t>
            </w:r>
          </w:p>
        </w:tc>
        <w:tc>
          <w:tcPr>
            <w:tcW w:w="3640" w:type="pct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主要功能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1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检测线路信息配置</w:t>
            </w:r>
          </w:p>
        </w:tc>
        <w:tc>
          <w:tcPr>
            <w:tcW w:w="364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从数据库中选择检测线路配置相关信息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1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</w:p>
        </w:tc>
        <w:tc>
          <w:tcPr>
            <w:tcW w:w="364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选择里程增减方式、上下行、正反向等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1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系统启动/停止</w:t>
            </w:r>
          </w:p>
        </w:tc>
        <w:tc>
          <w:tcPr>
            <w:tcW w:w="364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系统启动，图像采集传感器启动采集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1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</w:p>
        </w:tc>
        <w:tc>
          <w:tcPr>
            <w:tcW w:w="364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系统停止，图像采集传感器停止采集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1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同步设置</w:t>
            </w:r>
          </w:p>
        </w:tc>
        <w:tc>
          <w:tcPr>
            <w:tcW w:w="13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里程同步</w:t>
            </w:r>
          </w:p>
        </w:tc>
        <w:tc>
          <w:tcPr>
            <w:tcW w:w="22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与车上的定位同步系统里程相关信息同步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</w:p>
        </w:tc>
        <w:tc>
          <w:tcPr>
            <w:tcW w:w="91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</w:p>
        </w:tc>
        <w:tc>
          <w:tcPr>
            <w:tcW w:w="1346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里程信息接收</w:t>
            </w:r>
          </w:p>
        </w:tc>
        <w:tc>
          <w:tcPr>
            <w:tcW w:w="22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串口设置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</w:p>
        </w:tc>
        <w:tc>
          <w:tcPr>
            <w:tcW w:w="91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</w:p>
        </w:tc>
        <w:tc>
          <w:tcPr>
            <w:tcW w:w="134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</w:p>
        </w:tc>
        <w:tc>
          <w:tcPr>
            <w:tcW w:w="22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波特率设置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</w:p>
        </w:tc>
        <w:tc>
          <w:tcPr>
            <w:tcW w:w="91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</w:p>
        </w:tc>
        <w:tc>
          <w:tcPr>
            <w:tcW w:w="134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</w:p>
        </w:tc>
        <w:tc>
          <w:tcPr>
            <w:tcW w:w="22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接收里程修正信息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1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系统配置</w:t>
            </w:r>
          </w:p>
        </w:tc>
        <w:tc>
          <w:tcPr>
            <w:tcW w:w="13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配置相机</w:t>
            </w:r>
          </w:p>
        </w:tc>
        <w:tc>
          <w:tcPr>
            <w:tcW w:w="22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可以设置每路相机相关信息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1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</w:p>
        </w:tc>
        <w:tc>
          <w:tcPr>
            <w:tcW w:w="13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配置文件选择</w:t>
            </w:r>
          </w:p>
        </w:tc>
        <w:tc>
          <w:tcPr>
            <w:tcW w:w="22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选择已配置好的配置文件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1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</w:p>
        </w:tc>
        <w:tc>
          <w:tcPr>
            <w:tcW w:w="13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单帧图像对应像素高度、宽度、空间对应距离</w:t>
            </w:r>
          </w:p>
        </w:tc>
        <w:tc>
          <w:tcPr>
            <w:tcW w:w="22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根据检测实际要求设置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1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</w:p>
        </w:tc>
        <w:tc>
          <w:tcPr>
            <w:tcW w:w="13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采集触发源</w:t>
            </w:r>
          </w:p>
        </w:tc>
        <w:tc>
          <w:tcPr>
            <w:tcW w:w="22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可在轮轴编码器与内部时钟触发二选一，内部时钟触发需可设置内部时钟频率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918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</w:p>
        </w:tc>
        <w:tc>
          <w:tcPr>
            <w:tcW w:w="13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相机启用设置</w:t>
            </w:r>
          </w:p>
        </w:tc>
        <w:tc>
          <w:tcPr>
            <w:tcW w:w="22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可选择启用\不启用相机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9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相机配置</w:t>
            </w:r>
          </w:p>
        </w:tc>
        <w:tc>
          <w:tcPr>
            <w:tcW w:w="134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曝光时间调节</w:t>
            </w:r>
          </w:p>
        </w:tc>
        <w:tc>
          <w:tcPr>
            <w:tcW w:w="22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可在曝光范围内调节曝光时间，可统一调节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也</w:t>
            </w:r>
            <w:r>
              <w:rPr>
                <w:rFonts w:hint="eastAsia"/>
              </w:rPr>
              <w:t>可分开调节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切换线路</w:t>
            </w:r>
          </w:p>
        </w:tc>
        <w:tc>
          <w:tcPr>
            <w:tcW w:w="364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可在采集</w:t>
            </w:r>
            <w:r>
              <w:rPr>
                <w:rFonts w:hint="eastAsia"/>
                <w:lang w:val="en-US" w:eastAsia="zh-CN"/>
              </w:rPr>
              <w:t>不</w:t>
            </w:r>
            <w:r>
              <w:rPr>
                <w:rFonts w:hint="eastAsia"/>
              </w:rPr>
              <w:t>中断情况下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切换检测线路信息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91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集中控制</w:t>
            </w:r>
          </w:p>
        </w:tc>
        <w:tc>
          <w:tcPr>
            <w:tcW w:w="364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</w:rPr>
            </w:pPr>
            <w:r>
              <w:rPr>
                <w:rFonts w:hint="eastAsia" w:ascii="Arial" w:hAnsi="Arial" w:cs="Arial"/>
              </w:rPr>
              <w:t>可配合巡检集中控制完成远程软件的启停</w:t>
            </w:r>
            <w:r>
              <w:rPr>
                <w:rFonts w:hint="eastAsia" w:ascii="Arial" w:hAnsi="Arial" w:cs="Arial"/>
                <w:lang w:eastAsia="zh-CN"/>
              </w:rPr>
              <w:t>、</w:t>
            </w:r>
            <w:r>
              <w:rPr>
                <w:rFonts w:hint="eastAsia" w:ascii="Arial" w:hAnsi="Arial" w:cs="Arial"/>
              </w:rPr>
              <w:t>任务切换和开关机功能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/>
          <w:szCs w:val="21"/>
        </w:rPr>
      </w:pPr>
    </w:p>
    <w:p>
      <w:pPr>
        <w:pStyle w:val="2"/>
        <w:ind w:left="432" w:hanging="432"/>
        <w:rPr>
          <w:sz w:val="28"/>
          <w:szCs w:val="28"/>
        </w:rPr>
      </w:pPr>
      <w:bookmarkStart w:id="15" w:name="_Toc25724"/>
      <w:bookmarkStart w:id="16" w:name="_Toc14780"/>
      <w:r>
        <w:rPr>
          <w:rFonts w:hint="eastAsia"/>
          <w:sz w:val="28"/>
          <w:szCs w:val="28"/>
        </w:rPr>
        <w:t>其他要求</w:t>
      </w:r>
      <w:bookmarkEnd w:id="15"/>
      <w:bookmarkEnd w:id="16"/>
    </w:p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无。</w:t>
      </w:r>
    </w:p>
    <w:p>
      <w:pPr>
        <w:pStyle w:val="2"/>
        <w:ind w:left="432" w:hanging="432"/>
        <w:rPr>
          <w:sz w:val="28"/>
          <w:szCs w:val="28"/>
        </w:rPr>
      </w:pPr>
      <w:bookmarkStart w:id="17" w:name="_Toc19502"/>
      <w:bookmarkStart w:id="18" w:name="_Toc22141"/>
      <w:r>
        <w:rPr>
          <w:rFonts w:hint="eastAsia"/>
          <w:sz w:val="28"/>
          <w:szCs w:val="28"/>
        </w:rPr>
        <w:t>不合格控制要求</w:t>
      </w:r>
      <w:bookmarkEnd w:id="17"/>
      <w:bookmarkEnd w:id="18"/>
    </w:p>
    <w:p>
      <w:pPr>
        <w:ind w:firstLine="480" w:firstLineChars="200"/>
        <w:rPr>
          <w:bCs/>
          <w:sz w:val="24"/>
          <w:szCs w:val="24"/>
        </w:rPr>
      </w:pPr>
      <w:bookmarkStart w:id="19" w:name="_Toc7307"/>
      <w:r>
        <w:rPr>
          <w:rFonts w:hint="eastAsia" w:ascii="宋体" w:cs="宋体"/>
          <w:bCs/>
          <w:sz w:val="24"/>
          <w:szCs w:val="24"/>
        </w:rPr>
        <w:t>供应商不合格产品应按照《不合格品控制程序》进行控制。</w:t>
      </w:r>
    </w:p>
    <w:p>
      <w:pPr>
        <w:pStyle w:val="2"/>
        <w:ind w:left="432" w:hanging="432"/>
        <w:rPr>
          <w:sz w:val="28"/>
          <w:szCs w:val="28"/>
        </w:rPr>
      </w:pPr>
      <w:bookmarkStart w:id="20" w:name="_Toc26543"/>
      <w:r>
        <w:rPr>
          <w:rFonts w:hint="eastAsia"/>
          <w:sz w:val="28"/>
          <w:szCs w:val="28"/>
        </w:rPr>
        <w:t>技术文件清单控制</w:t>
      </w:r>
      <w:bookmarkEnd w:id="19"/>
      <w:bookmarkEnd w:id="20"/>
    </w:p>
    <w:p>
      <w:pPr>
        <w:ind w:firstLine="480" w:firstLineChars="200"/>
        <w:rPr>
          <w:rFonts w:ascii="宋体" w:cs="宋体"/>
          <w:bCs/>
          <w:sz w:val="24"/>
          <w:szCs w:val="24"/>
        </w:rPr>
      </w:pPr>
      <w:r>
        <w:rPr>
          <w:rFonts w:hint="eastAsia" w:ascii="宋体" w:cs="宋体"/>
          <w:bCs/>
          <w:sz w:val="24"/>
          <w:szCs w:val="24"/>
        </w:rPr>
        <w:t>供应商应提供必要的技术资料，技术资料可包括图纸、说明书等。</w:t>
      </w:r>
    </w:p>
    <w:p>
      <w:pPr>
        <w:pStyle w:val="2"/>
        <w:ind w:left="432" w:hanging="432"/>
        <w:rPr>
          <w:sz w:val="28"/>
          <w:szCs w:val="28"/>
        </w:rPr>
      </w:pPr>
      <w:bookmarkStart w:id="21" w:name="_Toc9513"/>
      <w:bookmarkStart w:id="22" w:name="_Toc19242"/>
      <w:r>
        <w:rPr>
          <w:rFonts w:hint="eastAsia"/>
          <w:sz w:val="28"/>
          <w:szCs w:val="28"/>
        </w:rPr>
        <w:t>变更控制</w:t>
      </w:r>
      <w:bookmarkEnd w:id="21"/>
      <w:bookmarkEnd w:id="22"/>
    </w:p>
    <w:p>
      <w:pPr>
        <w:ind w:firstLine="480" w:firstLineChars="200"/>
        <w:rPr>
          <w:rFonts w:ascii="Arial" w:hAnsi="Arial" w:eastAsia="宋体" w:cs="Times New Roman"/>
          <w:b/>
          <w:kern w:val="2"/>
          <w:sz w:val="24"/>
          <w:szCs w:val="24"/>
        </w:rPr>
      </w:pPr>
      <w:r>
        <w:rPr>
          <w:rFonts w:hint="eastAsia" w:ascii="Arial" w:hAnsi="Arial" w:cs="Times New Roman"/>
          <w:bCs/>
          <w:kern w:val="2"/>
          <w:sz w:val="24"/>
          <w:szCs w:val="24"/>
        </w:rPr>
        <w:t>如产品发生变更，供应商应提前至少1个月通知采购部和相关部门。</w:t>
      </w:r>
    </w:p>
    <w:p>
      <w:pPr>
        <w:pStyle w:val="2"/>
        <w:ind w:left="432" w:hanging="432"/>
        <w:rPr>
          <w:sz w:val="28"/>
          <w:szCs w:val="28"/>
        </w:rPr>
      </w:pPr>
      <w:bookmarkStart w:id="23" w:name="_Toc7624"/>
      <w:bookmarkStart w:id="24" w:name="_Toc13107"/>
      <w:r>
        <w:rPr>
          <w:rFonts w:hint="eastAsia"/>
          <w:sz w:val="28"/>
          <w:szCs w:val="28"/>
        </w:rPr>
        <w:t>老化管理</w:t>
      </w:r>
      <w:bookmarkEnd w:id="23"/>
      <w:bookmarkEnd w:id="24"/>
    </w:p>
    <w:p>
      <w:pPr>
        <w:ind w:firstLine="480" w:firstLineChars="200"/>
        <w:rPr>
          <w:rFonts w:ascii="Arial" w:hAnsi="Arial" w:cs="Times New Roman"/>
          <w:bCs/>
          <w:kern w:val="2"/>
          <w:sz w:val="24"/>
          <w:szCs w:val="24"/>
        </w:rPr>
      </w:pPr>
      <w:r>
        <w:rPr>
          <w:rFonts w:hint="eastAsia" w:ascii="Arial" w:hAnsi="Arial" w:cs="Times New Roman"/>
          <w:bCs/>
          <w:kern w:val="2"/>
          <w:sz w:val="24"/>
          <w:szCs w:val="24"/>
        </w:rPr>
        <w:t>供应商</w:t>
      </w:r>
      <w:r>
        <w:rPr>
          <w:rFonts w:hint="eastAsia" w:ascii="Arial" w:hAnsi="Arial" w:eastAsia="宋体" w:cs="Times New Roman"/>
          <w:bCs/>
          <w:kern w:val="2"/>
          <w:sz w:val="24"/>
          <w:szCs w:val="24"/>
        </w:rPr>
        <w:t>质保期内及时</w:t>
      </w:r>
      <w:r>
        <w:rPr>
          <w:rFonts w:hint="eastAsia" w:ascii="宋体" w:cs="宋体"/>
          <w:sz w:val="24"/>
          <w:szCs w:val="24"/>
        </w:rPr>
        <w:t>提供</w:t>
      </w:r>
      <w:r>
        <w:rPr>
          <w:rFonts w:hint="eastAsia" w:ascii="Arial" w:hAnsi="Arial" w:eastAsia="宋体" w:cs="Times New Roman"/>
          <w:bCs/>
          <w:kern w:val="2"/>
          <w:sz w:val="24"/>
          <w:szCs w:val="24"/>
        </w:rPr>
        <w:t>产品及备件的措施</w:t>
      </w:r>
      <w:r>
        <w:rPr>
          <w:rFonts w:hint="eastAsia" w:ascii="Arial" w:hAnsi="Arial" w:cs="Times New Roman"/>
          <w:bCs/>
          <w:kern w:val="2"/>
          <w:sz w:val="24"/>
          <w:szCs w:val="24"/>
        </w:rPr>
        <w:t>（产品升级后，功能可兼容老版产品）。</w:t>
      </w:r>
    </w:p>
    <w:p>
      <w:pPr>
        <w:ind w:firstLine="480" w:firstLineChars="200"/>
        <w:rPr>
          <w:rFonts w:ascii="Arial" w:hAnsi="Arial" w:eastAsia="宋体" w:cs="Times New Roman"/>
          <w:bCs/>
          <w:kern w:val="2"/>
          <w:sz w:val="24"/>
          <w:szCs w:val="24"/>
        </w:rPr>
      </w:pPr>
      <w:r>
        <w:rPr>
          <w:rFonts w:hint="eastAsia" w:ascii="Arial" w:hAnsi="Arial" w:cs="Times New Roman"/>
          <w:bCs/>
          <w:kern w:val="2"/>
          <w:sz w:val="24"/>
          <w:szCs w:val="24"/>
        </w:rPr>
        <w:t>如产品停止供应，供应商应提前至少6个月通知采购部。</w:t>
      </w:r>
    </w:p>
    <w:p>
      <w:pPr>
        <w:pStyle w:val="2"/>
        <w:ind w:left="432" w:hanging="432"/>
        <w:rPr>
          <w:sz w:val="28"/>
          <w:szCs w:val="28"/>
        </w:rPr>
      </w:pPr>
      <w:bookmarkStart w:id="25" w:name="_Toc27701"/>
      <w:bookmarkStart w:id="26" w:name="_Toc31900"/>
      <w:r>
        <w:rPr>
          <w:rFonts w:hint="eastAsia"/>
          <w:sz w:val="28"/>
          <w:szCs w:val="28"/>
        </w:rPr>
        <w:t>标识和可追溯性管理</w:t>
      </w:r>
      <w:bookmarkEnd w:id="25"/>
      <w:bookmarkEnd w:id="26"/>
    </w:p>
    <w:p>
      <w:pPr>
        <w:ind w:firstLine="480" w:firstLineChars="200"/>
        <w:rPr>
          <w:rFonts w:ascii="Arial" w:hAnsi="Arial" w:eastAsia="宋体" w:cs="Times New Roman"/>
          <w:b/>
          <w:kern w:val="2"/>
          <w:sz w:val="28"/>
          <w:szCs w:val="28"/>
        </w:rPr>
      </w:pPr>
      <w:r>
        <w:rPr>
          <w:rFonts w:hint="eastAsia" w:ascii="Arial" w:hAnsi="Arial" w:cs="Times New Roman"/>
          <w:bCs/>
          <w:kern w:val="2"/>
          <w:sz w:val="24"/>
          <w:szCs w:val="24"/>
        </w:rPr>
        <w:t>供应商</w:t>
      </w:r>
      <w:r>
        <w:rPr>
          <w:rFonts w:hint="eastAsia" w:ascii="宋体" w:cs="宋体"/>
          <w:sz w:val="24"/>
          <w:szCs w:val="24"/>
        </w:rPr>
        <w:t>产品应具有唯一标识，标识应制作在产品上，不能制作在产品上时，允许制作在包装物或适当的载体上，该类标识应与产品同步流转。标识的字迹清晰、准确，并于产品技术资料相对应。</w:t>
      </w:r>
    </w:p>
    <w:p>
      <w:pPr>
        <w:pStyle w:val="2"/>
        <w:ind w:left="432" w:hanging="432"/>
        <w:rPr>
          <w:sz w:val="28"/>
          <w:szCs w:val="28"/>
        </w:rPr>
      </w:pPr>
      <w:bookmarkStart w:id="27" w:name="_Toc18695"/>
      <w:bookmarkStart w:id="28" w:name="_Toc12548"/>
      <w:r>
        <w:rPr>
          <w:rFonts w:hint="eastAsia"/>
          <w:sz w:val="28"/>
          <w:szCs w:val="28"/>
        </w:rPr>
        <w:t>产品防护要求</w:t>
      </w:r>
      <w:bookmarkEnd w:id="27"/>
      <w:bookmarkEnd w:id="28"/>
    </w:p>
    <w:p>
      <w:pPr>
        <w:pStyle w:val="3"/>
        <w:rPr>
          <w:szCs w:val="24"/>
        </w:rPr>
      </w:pPr>
      <w:bookmarkStart w:id="29" w:name="_Toc18293"/>
      <w:bookmarkStart w:id="30" w:name="_Toc25165"/>
      <w:r>
        <w:rPr>
          <w:rFonts w:hint="eastAsia"/>
          <w:szCs w:val="24"/>
        </w:rPr>
        <w:t>生产过程中的防护要求</w:t>
      </w:r>
      <w:bookmarkEnd w:id="29"/>
      <w:bookmarkEnd w:id="30"/>
    </w:p>
    <w:p>
      <w:pPr>
        <w:ind w:firstLine="480" w:firstLineChars="200"/>
        <w:rPr>
          <w:rFonts w:ascii="宋体" w:cs="宋体"/>
          <w:sz w:val="24"/>
          <w:szCs w:val="24"/>
        </w:rPr>
      </w:pPr>
      <w:r>
        <w:rPr>
          <w:rFonts w:hint="eastAsia" w:ascii="Arial" w:hAnsi="Arial" w:cs="Times New Roman"/>
          <w:bCs/>
          <w:kern w:val="2"/>
          <w:sz w:val="24"/>
          <w:szCs w:val="24"/>
        </w:rPr>
        <w:t>供应商</w:t>
      </w:r>
      <w:r>
        <w:rPr>
          <w:rFonts w:hint="eastAsia" w:ascii="宋体" w:cs="宋体"/>
          <w:sz w:val="24"/>
          <w:szCs w:val="24"/>
        </w:rPr>
        <w:t>搬运产品时，应先将流转防护工具/设备放置到位，对产品做到轻拿轻放，防止搬运过程因装卸动作粗暴而损伤产品。在装运物料前，应根据产品大小、数量、高度和宽度，确保产品在运输过程中无倒塌或压坏等现象。</w:t>
      </w:r>
    </w:p>
    <w:p>
      <w:pPr>
        <w:pStyle w:val="3"/>
        <w:rPr>
          <w:szCs w:val="24"/>
        </w:rPr>
      </w:pPr>
      <w:bookmarkStart w:id="31" w:name="_Toc1521"/>
      <w:bookmarkStart w:id="32" w:name="_Toc8612"/>
      <w:r>
        <w:rPr>
          <w:rFonts w:hint="eastAsia"/>
          <w:szCs w:val="24"/>
        </w:rPr>
        <w:t>包装和运输要求</w:t>
      </w:r>
      <w:bookmarkEnd w:id="31"/>
      <w:bookmarkEnd w:id="32"/>
    </w:p>
    <w:p>
      <w:pPr>
        <w:ind w:firstLine="480" w:firstLineChars="200"/>
      </w:pPr>
      <w:r>
        <w:rPr>
          <w:rFonts w:hint="eastAsia" w:ascii="Arial" w:hAnsi="Arial" w:cs="Times New Roman"/>
          <w:bCs/>
          <w:kern w:val="2"/>
          <w:sz w:val="24"/>
          <w:szCs w:val="24"/>
        </w:rPr>
        <w:t>供应商提供的</w:t>
      </w:r>
      <w:r>
        <w:rPr>
          <w:rFonts w:hint="eastAsia" w:ascii="宋体" w:cs="宋体"/>
          <w:sz w:val="24"/>
          <w:szCs w:val="24"/>
        </w:rPr>
        <w:t>产品应有包装箱，箱内应有防震、防潮措施，以保证产品不受损坏。</w:t>
      </w:r>
    </w:p>
    <w:p>
      <w:pPr>
        <w:pStyle w:val="2"/>
        <w:ind w:left="432" w:hanging="432"/>
        <w:rPr>
          <w:sz w:val="28"/>
          <w:szCs w:val="28"/>
        </w:rPr>
      </w:pPr>
      <w:bookmarkStart w:id="33" w:name="_Toc29659"/>
      <w:bookmarkStart w:id="34" w:name="_Toc28157"/>
      <w:r>
        <w:rPr>
          <w:rFonts w:hint="eastAsia"/>
          <w:sz w:val="28"/>
          <w:szCs w:val="28"/>
        </w:rPr>
        <w:t>主要风险及管控措施</w:t>
      </w:r>
      <w:bookmarkEnd w:id="33"/>
      <w:bookmarkEnd w:id="34"/>
    </w:p>
    <w:p>
      <w:pPr>
        <w:ind w:firstLine="480" w:firstLineChars="200"/>
        <w:rPr>
          <w:rFonts w:hint="eastAsia" w:ascii="宋体" w:cs="宋体"/>
          <w:sz w:val="24"/>
          <w:szCs w:val="24"/>
        </w:rPr>
      </w:pPr>
      <w:r>
        <w:rPr>
          <w:rFonts w:hint="eastAsia" w:ascii="宋体" w:cs="宋体"/>
          <w:sz w:val="24"/>
          <w:szCs w:val="24"/>
          <w:lang w:eastAsia="zh-CN"/>
        </w:rPr>
        <w:t>暂无</w:t>
      </w:r>
      <w:r>
        <w:rPr>
          <w:rFonts w:hint="eastAsia" w:ascii="宋体" w:cs="宋体"/>
          <w:sz w:val="24"/>
          <w:szCs w:val="24"/>
        </w:rPr>
        <w:t>。</w:t>
      </w:r>
    </w:p>
    <w:p>
      <w:pPr>
        <w:ind w:firstLine="480" w:firstLineChars="200"/>
        <w:rPr>
          <w:rFonts w:hint="eastAsia" w:ascii="宋体" w:cs="宋体"/>
          <w:sz w:val="24"/>
          <w:szCs w:val="24"/>
        </w:rPr>
      </w:pPr>
    </w:p>
    <w:sectPr>
      <w:footerReference r:id="rId11" w:type="default"/>
      <w:pgSz w:w="11907" w:h="16840"/>
      <w:pgMar w:top="1571" w:right="1191" w:bottom="1247" w:left="1191" w:header="851" w:footer="567" w:gutter="567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linePitch="286" w:charSpace="5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ind w:right="360"/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framePr w:wrap="around" w:vAnchor="text" w:hAnchor="margin" w:xAlign="right" w:y="1"/>
      <w:rPr>
        <w:rStyle w:val="40"/>
      </w:rPr>
    </w:pPr>
    <w:r>
      <w:fldChar w:fldCharType="begin"/>
    </w:r>
    <w:r>
      <w:rPr>
        <w:rStyle w:val="40"/>
      </w:rPr>
      <w:instrText xml:space="preserve">PAGE  </w:instrText>
    </w:r>
    <w:r>
      <w:fldChar w:fldCharType="end"/>
    </w:r>
  </w:p>
  <w:p>
    <w:pPr>
      <w:pStyle w:val="2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ind w:right="360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I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KPF0n9ABAACm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I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ind w:right="360"/>
      <w:rPr>
        <w:sz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II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7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OqXm5zwAAAAUBAAAPAAAAAAAAAAEAIAAAACIAAABkcnMvZG93bnJldi54bWxQSwECFAAU&#10;AAAACACHTuJAwtMAjMEBAACPAwAADgAAAAAAAAABACAAAAAe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II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ind w:right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3"/>
                            <w:ind w:right="360"/>
                            <w:jc w:val="center"/>
                          </w:pPr>
                          <w:r>
                            <w:rPr>
                              <w:rFonts w:hint="eastAsia"/>
                              <w:sz w:val="18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4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40"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sz w:val="18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21"/>
                            </w:rPr>
                            <w:instrText xml:space="preserve"> </w:instrText>
                          </w:r>
                          <w:r>
                            <w:rPr>
                              <w:rFonts w:hint="eastAsia"/>
                              <w:sz w:val="18"/>
                              <w:szCs w:val="21"/>
                            </w:rPr>
                            <w:instrText xml:space="preserve">SECTIONPAGES   \* MERGEFORMAT</w:instrText>
                          </w:r>
                          <w:r>
                            <w:rPr>
                              <w:sz w:val="18"/>
                              <w:szCs w:val="21"/>
                            </w:rPr>
                            <w:instrText xml:space="preserve"> </w:instrText>
                          </w:r>
                          <w:r>
                            <w:rPr>
                              <w:sz w:val="18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21"/>
                            </w:rPr>
                            <w:t>10</w:t>
                          </w:r>
                          <w:r>
                            <w:rPr>
                              <w:sz w:val="18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3"/>
                      <w:ind w:right="360"/>
                      <w:jc w:val="center"/>
                    </w:pPr>
                    <w:r>
                      <w:rPr>
                        <w:rFonts w:hint="eastAsia"/>
                        <w:sz w:val="18"/>
                        <w:szCs w:val="21"/>
                      </w:rPr>
                      <w:t xml:space="preserve">第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4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40"/>
                        <w:sz w:val="18"/>
                        <w:szCs w:val="18"/>
                      </w:rPr>
                      <w:t>9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szCs w:val="21"/>
                      </w:rPr>
                      <w:t xml:space="preserve"> 页 共 </w:t>
                    </w:r>
                    <w:r>
                      <w:rPr>
                        <w:sz w:val="18"/>
                        <w:szCs w:val="21"/>
                      </w:rPr>
                      <w:fldChar w:fldCharType="begin"/>
                    </w:r>
                    <w:r>
                      <w:rPr>
                        <w:sz w:val="18"/>
                        <w:szCs w:val="21"/>
                      </w:rPr>
                      <w:instrText xml:space="preserve"> </w:instrText>
                    </w:r>
                    <w:r>
                      <w:rPr>
                        <w:rFonts w:hint="eastAsia"/>
                        <w:sz w:val="18"/>
                        <w:szCs w:val="21"/>
                      </w:rPr>
                      <w:instrText xml:space="preserve">SECTIONPAGES   \* MERGEFORMAT</w:instrText>
                    </w:r>
                    <w:r>
                      <w:rPr>
                        <w:sz w:val="18"/>
                        <w:szCs w:val="21"/>
                      </w:rPr>
                      <w:instrText xml:space="preserve"> </w:instrText>
                    </w:r>
                    <w:r>
                      <w:rPr>
                        <w:sz w:val="18"/>
                        <w:szCs w:val="21"/>
                      </w:rPr>
                      <w:fldChar w:fldCharType="separate"/>
                    </w:r>
                    <w:r>
                      <w:rPr>
                        <w:sz w:val="18"/>
                        <w:szCs w:val="21"/>
                      </w:rPr>
                      <w:t>10</w:t>
                    </w:r>
                    <w:r>
                      <w:rPr>
                        <w:sz w:val="18"/>
                        <w:szCs w:val="21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18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-44450</wp:posOffset>
              </wp:positionV>
              <wp:extent cx="5691505" cy="0"/>
              <wp:effectExtent l="0" t="0" r="0" b="0"/>
              <wp:wrapSquare wrapText="bothSides"/>
              <wp:docPr id="10" name="直线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9150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直线 24" o:spid="_x0000_s1026" o:spt="20" style="position:absolute;left:0pt;margin-left:-0.35pt;margin-top:-3.5pt;height:0pt;width:448.15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aaUJsNUAAAAHAQAADwAA&#10;AAAAAAABACAAAAAiAAAAZHJzL2Rvd25yZXYueG1sUEsBAhQAFAAAAAgAh07iQEHO4N/gAQAA0QMA&#10;AA4AAAAAAAAAAQAgAAAAJAEAAGRycy9lMm9Eb2MueG1sUEsFBgAAAAAGAAYAWQEAAHYFAAAAAA==&#10;">
              <v:fill on="f" focussize="0,0"/>
              <v:stroke color="#000000" joinstyle="round"/>
              <v:imagedata o:title=""/>
              <o:lock v:ext="edit" aspectratio="f"/>
              <w10:wrap type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tabs>
        <w:tab w:val="right" w:pos="8946"/>
        <w:tab w:val="clear" w:pos="8640"/>
      </w:tabs>
      <w:wordWrap w:val="0"/>
      <w:spacing w:line="240" w:lineRule="auto"/>
      <w:ind w:right="12" w:firstLine="1094" w:firstLineChars="608"/>
      <w:jc w:val="right"/>
      <w:rPr>
        <w:rFonts w:ascii="仿宋" w:hAnsi="仿宋" w:eastAsia="仿宋" w:cs="仿宋"/>
        <w:sz w:val="18"/>
        <w:szCs w:val="18"/>
      </w:rPr>
    </w:pPr>
    <w:r>
      <w:rPr>
        <w:rFonts w:hint="eastAsia" w:ascii="仿宋_GB2312" w:eastAsia="仿宋_GB2312"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-60325</wp:posOffset>
          </wp:positionH>
          <wp:positionV relativeFrom="paragraph">
            <wp:posOffset>-168275</wp:posOffset>
          </wp:positionV>
          <wp:extent cx="712470" cy="461645"/>
          <wp:effectExtent l="0" t="0" r="11430" b="14605"/>
          <wp:wrapSquare wrapText="bothSides"/>
          <wp:docPr id="16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图片 9"/>
                  <pic:cNvPicPr>
                    <a:picLocks noChangeAspect="1"/>
                  </pic:cNvPicPr>
                </pic:nvPicPr>
                <pic:blipFill>
                  <a:blip r:embed="rId1"/>
                  <a:srcRect l="7660" r="11873" b="-116"/>
                  <a:stretch>
                    <a:fillRect/>
                  </a:stretch>
                </pic:blipFill>
                <pic:spPr>
                  <a:xfrm>
                    <a:off x="0" y="0"/>
                    <a:ext cx="71247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24"/>
      <w:pBdr>
        <w:bottom w:val="single" w:color="auto" w:sz="4" w:space="0"/>
      </w:pBdr>
      <w:tabs>
        <w:tab w:val="right" w:pos="8946"/>
        <w:tab w:val="clear" w:pos="8640"/>
      </w:tabs>
      <w:wordWrap w:val="0"/>
      <w:spacing w:line="240" w:lineRule="auto"/>
      <w:ind w:right="10" w:rightChars="5" w:firstLine="1094" w:firstLineChars="608"/>
      <w:jc w:val="right"/>
      <w:rPr>
        <w:rFonts w:ascii="宋体" w:hAnsi="宋体" w:eastAsia="仿宋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273CB4"/>
    <w:multiLevelType w:val="multilevel"/>
    <w:tmpl w:val="71273CB4"/>
    <w:lvl w:ilvl="0" w:tentative="0">
      <w:start w:val="1"/>
      <w:numFmt w:val="decimal"/>
      <w:pStyle w:val="2"/>
      <w:suff w:val="space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786"/>
        </w:tabs>
        <w:ind w:left="426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146"/>
        </w:tabs>
        <w:ind w:left="426" w:firstLine="0"/>
      </w:pPr>
      <w:rPr>
        <w:rFonts w:hint="eastAsia" w:eastAsia="宋体"/>
        <w:b w:val="0"/>
        <w:i w:val="0"/>
        <w:sz w:val="21"/>
      </w:rPr>
    </w:lvl>
    <w:lvl w:ilvl="3" w:tentative="0">
      <w:start w:val="1"/>
      <w:numFmt w:val="decimal"/>
      <w:pStyle w:val="5"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80"/>
        </w:tabs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forms" w:enforcement="1" w:cryptProviderType="rsaFull" w:cryptAlgorithmClass="hash" w:cryptAlgorithmType="typeAny" w:cryptAlgorithmSid="4" w:cryptSpinCount="0" w:hash="bkIEMFeGrDmB96o9I8OupYNK0do=" w:salt="9mQw6p1ydelZT8K7YweJAQ=="/>
  <w:defaultTabStop w:val="420"/>
  <w:drawingGridHorizontalSpacing w:val="213"/>
  <w:drawingGridVerticalSpacing w:val="14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yZGY3ZTEyYTA4YTdiODY5YjI2ZDk5NzU5YWY3NjEifQ=="/>
  </w:docVars>
  <w:rsids>
    <w:rsidRoot w:val="00565428"/>
    <w:rsid w:val="00000562"/>
    <w:rsid w:val="00001E8E"/>
    <w:rsid w:val="000048B3"/>
    <w:rsid w:val="0002167D"/>
    <w:rsid w:val="00024067"/>
    <w:rsid w:val="00027A48"/>
    <w:rsid w:val="000319C4"/>
    <w:rsid w:val="00033292"/>
    <w:rsid w:val="00035926"/>
    <w:rsid w:val="00036DDD"/>
    <w:rsid w:val="00041EBC"/>
    <w:rsid w:val="00043AEB"/>
    <w:rsid w:val="00051A70"/>
    <w:rsid w:val="00051E55"/>
    <w:rsid w:val="00053E0E"/>
    <w:rsid w:val="00071A20"/>
    <w:rsid w:val="0007216C"/>
    <w:rsid w:val="000729A3"/>
    <w:rsid w:val="00082D57"/>
    <w:rsid w:val="000A0367"/>
    <w:rsid w:val="000A07E6"/>
    <w:rsid w:val="000A1C76"/>
    <w:rsid w:val="000A2D01"/>
    <w:rsid w:val="000A3A32"/>
    <w:rsid w:val="000B4723"/>
    <w:rsid w:val="000C22F5"/>
    <w:rsid w:val="000C5D66"/>
    <w:rsid w:val="000D1D93"/>
    <w:rsid w:val="000D41A1"/>
    <w:rsid w:val="000D5840"/>
    <w:rsid w:val="000E1F38"/>
    <w:rsid w:val="000E4428"/>
    <w:rsid w:val="000E583B"/>
    <w:rsid w:val="000E7EA7"/>
    <w:rsid w:val="001033FA"/>
    <w:rsid w:val="00103CAA"/>
    <w:rsid w:val="00106A12"/>
    <w:rsid w:val="001105FF"/>
    <w:rsid w:val="00111695"/>
    <w:rsid w:val="00136E72"/>
    <w:rsid w:val="001470F0"/>
    <w:rsid w:val="00147CEF"/>
    <w:rsid w:val="0015182C"/>
    <w:rsid w:val="00153BAE"/>
    <w:rsid w:val="0015606F"/>
    <w:rsid w:val="00162767"/>
    <w:rsid w:val="00165CB2"/>
    <w:rsid w:val="00171CC7"/>
    <w:rsid w:val="00173D04"/>
    <w:rsid w:val="00173D72"/>
    <w:rsid w:val="00177C91"/>
    <w:rsid w:val="00182964"/>
    <w:rsid w:val="00184F6F"/>
    <w:rsid w:val="00185E12"/>
    <w:rsid w:val="001864C4"/>
    <w:rsid w:val="00187312"/>
    <w:rsid w:val="001909F6"/>
    <w:rsid w:val="001950A3"/>
    <w:rsid w:val="00195308"/>
    <w:rsid w:val="00195866"/>
    <w:rsid w:val="00196A3E"/>
    <w:rsid w:val="00197175"/>
    <w:rsid w:val="001A0D29"/>
    <w:rsid w:val="001A1EDA"/>
    <w:rsid w:val="001A2D3D"/>
    <w:rsid w:val="001A62C3"/>
    <w:rsid w:val="001B40D0"/>
    <w:rsid w:val="001B4F5A"/>
    <w:rsid w:val="001C0516"/>
    <w:rsid w:val="001C2FF0"/>
    <w:rsid w:val="001D3212"/>
    <w:rsid w:val="001D5E98"/>
    <w:rsid w:val="001D6B79"/>
    <w:rsid w:val="001E0E46"/>
    <w:rsid w:val="001E43A1"/>
    <w:rsid w:val="001E52D7"/>
    <w:rsid w:val="001E5D5C"/>
    <w:rsid w:val="001F1F87"/>
    <w:rsid w:val="001F247B"/>
    <w:rsid w:val="001F2E8D"/>
    <w:rsid w:val="002024D0"/>
    <w:rsid w:val="00206A04"/>
    <w:rsid w:val="0021082B"/>
    <w:rsid w:val="002122F9"/>
    <w:rsid w:val="002128C0"/>
    <w:rsid w:val="002130CC"/>
    <w:rsid w:val="002154A3"/>
    <w:rsid w:val="00224931"/>
    <w:rsid w:val="00235EEF"/>
    <w:rsid w:val="00236435"/>
    <w:rsid w:val="00251ED9"/>
    <w:rsid w:val="00254633"/>
    <w:rsid w:val="002547EF"/>
    <w:rsid w:val="00265393"/>
    <w:rsid w:val="00265D6F"/>
    <w:rsid w:val="002677C4"/>
    <w:rsid w:val="00273919"/>
    <w:rsid w:val="002846B8"/>
    <w:rsid w:val="002911B9"/>
    <w:rsid w:val="00293644"/>
    <w:rsid w:val="00294A37"/>
    <w:rsid w:val="00294EA8"/>
    <w:rsid w:val="002A1BD5"/>
    <w:rsid w:val="002A501A"/>
    <w:rsid w:val="002A5215"/>
    <w:rsid w:val="002B35F7"/>
    <w:rsid w:val="002B3DB6"/>
    <w:rsid w:val="002C22AD"/>
    <w:rsid w:val="002C3E4C"/>
    <w:rsid w:val="002C6F57"/>
    <w:rsid w:val="002D0E33"/>
    <w:rsid w:val="002D32FF"/>
    <w:rsid w:val="002D4AE5"/>
    <w:rsid w:val="002D6337"/>
    <w:rsid w:val="002E12B4"/>
    <w:rsid w:val="002E206D"/>
    <w:rsid w:val="002E4BE5"/>
    <w:rsid w:val="002E5526"/>
    <w:rsid w:val="002E6075"/>
    <w:rsid w:val="002E6E80"/>
    <w:rsid w:val="002E7B2A"/>
    <w:rsid w:val="00300F9A"/>
    <w:rsid w:val="003165C5"/>
    <w:rsid w:val="00317F11"/>
    <w:rsid w:val="0032176F"/>
    <w:rsid w:val="00330BA1"/>
    <w:rsid w:val="00330D9F"/>
    <w:rsid w:val="003343CF"/>
    <w:rsid w:val="00334C2E"/>
    <w:rsid w:val="00341114"/>
    <w:rsid w:val="00346DAF"/>
    <w:rsid w:val="00351726"/>
    <w:rsid w:val="00353458"/>
    <w:rsid w:val="00355FB7"/>
    <w:rsid w:val="00376452"/>
    <w:rsid w:val="00377AAF"/>
    <w:rsid w:val="00392A39"/>
    <w:rsid w:val="00392C77"/>
    <w:rsid w:val="00394F80"/>
    <w:rsid w:val="00394FC6"/>
    <w:rsid w:val="00396DB4"/>
    <w:rsid w:val="00397733"/>
    <w:rsid w:val="003A0C61"/>
    <w:rsid w:val="003A2958"/>
    <w:rsid w:val="003A40B3"/>
    <w:rsid w:val="003A5B05"/>
    <w:rsid w:val="003A7227"/>
    <w:rsid w:val="003B650A"/>
    <w:rsid w:val="003B76E7"/>
    <w:rsid w:val="003D1BB4"/>
    <w:rsid w:val="003D3336"/>
    <w:rsid w:val="003E2972"/>
    <w:rsid w:val="003E3C92"/>
    <w:rsid w:val="003F0D83"/>
    <w:rsid w:val="003F119D"/>
    <w:rsid w:val="003F3B4D"/>
    <w:rsid w:val="003F7C77"/>
    <w:rsid w:val="0041454A"/>
    <w:rsid w:val="00416F85"/>
    <w:rsid w:val="00417064"/>
    <w:rsid w:val="00421AAA"/>
    <w:rsid w:val="00434670"/>
    <w:rsid w:val="004358DB"/>
    <w:rsid w:val="004403D3"/>
    <w:rsid w:val="004432AA"/>
    <w:rsid w:val="004438D1"/>
    <w:rsid w:val="004502E2"/>
    <w:rsid w:val="00452540"/>
    <w:rsid w:val="00455444"/>
    <w:rsid w:val="004678E7"/>
    <w:rsid w:val="00473B82"/>
    <w:rsid w:val="00475BE4"/>
    <w:rsid w:val="004818F4"/>
    <w:rsid w:val="00482933"/>
    <w:rsid w:val="0048429F"/>
    <w:rsid w:val="0048538E"/>
    <w:rsid w:val="00485AAD"/>
    <w:rsid w:val="00486DC8"/>
    <w:rsid w:val="00486FCC"/>
    <w:rsid w:val="00487F32"/>
    <w:rsid w:val="004A2AC1"/>
    <w:rsid w:val="004B6418"/>
    <w:rsid w:val="004B6F37"/>
    <w:rsid w:val="004B7A78"/>
    <w:rsid w:val="004C0CE1"/>
    <w:rsid w:val="004C0DC0"/>
    <w:rsid w:val="004C4833"/>
    <w:rsid w:val="004C605F"/>
    <w:rsid w:val="004C7365"/>
    <w:rsid w:val="004D0481"/>
    <w:rsid w:val="004D1718"/>
    <w:rsid w:val="004D3FFB"/>
    <w:rsid w:val="004D75E8"/>
    <w:rsid w:val="004E0AF0"/>
    <w:rsid w:val="004E2F84"/>
    <w:rsid w:val="004E4456"/>
    <w:rsid w:val="004F1B44"/>
    <w:rsid w:val="004F5327"/>
    <w:rsid w:val="005037F0"/>
    <w:rsid w:val="00506FAB"/>
    <w:rsid w:val="00521C44"/>
    <w:rsid w:val="00523CE8"/>
    <w:rsid w:val="0052498A"/>
    <w:rsid w:val="00524B83"/>
    <w:rsid w:val="005407CE"/>
    <w:rsid w:val="00540AF7"/>
    <w:rsid w:val="00540E3A"/>
    <w:rsid w:val="0054217B"/>
    <w:rsid w:val="00546620"/>
    <w:rsid w:val="00555ADA"/>
    <w:rsid w:val="00565428"/>
    <w:rsid w:val="00567C8A"/>
    <w:rsid w:val="0057569A"/>
    <w:rsid w:val="005924EB"/>
    <w:rsid w:val="005949E3"/>
    <w:rsid w:val="0059659D"/>
    <w:rsid w:val="005A15B5"/>
    <w:rsid w:val="005B06D4"/>
    <w:rsid w:val="005B0F07"/>
    <w:rsid w:val="005B4681"/>
    <w:rsid w:val="005B6DEB"/>
    <w:rsid w:val="005D22F8"/>
    <w:rsid w:val="005D2BE5"/>
    <w:rsid w:val="005D3F19"/>
    <w:rsid w:val="005E5623"/>
    <w:rsid w:val="005F2AC6"/>
    <w:rsid w:val="0060106E"/>
    <w:rsid w:val="00603B4B"/>
    <w:rsid w:val="00610EDD"/>
    <w:rsid w:val="00611EF6"/>
    <w:rsid w:val="00612109"/>
    <w:rsid w:val="00613677"/>
    <w:rsid w:val="006156AE"/>
    <w:rsid w:val="00621BF4"/>
    <w:rsid w:val="00627FA2"/>
    <w:rsid w:val="0063237C"/>
    <w:rsid w:val="00644C3A"/>
    <w:rsid w:val="00660D03"/>
    <w:rsid w:val="00663CEE"/>
    <w:rsid w:val="00667DA4"/>
    <w:rsid w:val="00675942"/>
    <w:rsid w:val="006875E6"/>
    <w:rsid w:val="00694303"/>
    <w:rsid w:val="006A7BE9"/>
    <w:rsid w:val="006B045C"/>
    <w:rsid w:val="006B2045"/>
    <w:rsid w:val="006B3D5B"/>
    <w:rsid w:val="006C1A6B"/>
    <w:rsid w:val="006C2C48"/>
    <w:rsid w:val="006C38BC"/>
    <w:rsid w:val="006D21A3"/>
    <w:rsid w:val="006D34CB"/>
    <w:rsid w:val="006D79E5"/>
    <w:rsid w:val="006E0320"/>
    <w:rsid w:val="006E17F3"/>
    <w:rsid w:val="006E3826"/>
    <w:rsid w:val="006E5641"/>
    <w:rsid w:val="006E5A56"/>
    <w:rsid w:val="006E6B3E"/>
    <w:rsid w:val="006F2EF6"/>
    <w:rsid w:val="00706C0E"/>
    <w:rsid w:val="00707257"/>
    <w:rsid w:val="0071613B"/>
    <w:rsid w:val="00721BE3"/>
    <w:rsid w:val="007233C9"/>
    <w:rsid w:val="00735ACD"/>
    <w:rsid w:val="007403AF"/>
    <w:rsid w:val="007405F7"/>
    <w:rsid w:val="00741010"/>
    <w:rsid w:val="007414B5"/>
    <w:rsid w:val="007436A5"/>
    <w:rsid w:val="00744164"/>
    <w:rsid w:val="00750A1F"/>
    <w:rsid w:val="0075521C"/>
    <w:rsid w:val="007566A0"/>
    <w:rsid w:val="007612BE"/>
    <w:rsid w:val="00762968"/>
    <w:rsid w:val="00767751"/>
    <w:rsid w:val="00771D4E"/>
    <w:rsid w:val="007845E5"/>
    <w:rsid w:val="007A1EC5"/>
    <w:rsid w:val="007A4F18"/>
    <w:rsid w:val="007A57B3"/>
    <w:rsid w:val="007A5E01"/>
    <w:rsid w:val="007B465F"/>
    <w:rsid w:val="007B6C9E"/>
    <w:rsid w:val="007C3B7A"/>
    <w:rsid w:val="007C52B2"/>
    <w:rsid w:val="007E7AD5"/>
    <w:rsid w:val="007F0162"/>
    <w:rsid w:val="007F01AF"/>
    <w:rsid w:val="007F1296"/>
    <w:rsid w:val="008002CE"/>
    <w:rsid w:val="008055F7"/>
    <w:rsid w:val="00811270"/>
    <w:rsid w:val="00811C01"/>
    <w:rsid w:val="00812381"/>
    <w:rsid w:val="00812D38"/>
    <w:rsid w:val="0081409D"/>
    <w:rsid w:val="008179B8"/>
    <w:rsid w:val="00823775"/>
    <w:rsid w:val="00833C15"/>
    <w:rsid w:val="00835E30"/>
    <w:rsid w:val="008367CD"/>
    <w:rsid w:val="00836C1E"/>
    <w:rsid w:val="0084044B"/>
    <w:rsid w:val="00840758"/>
    <w:rsid w:val="00843198"/>
    <w:rsid w:val="00853883"/>
    <w:rsid w:val="0085459E"/>
    <w:rsid w:val="00855765"/>
    <w:rsid w:val="00872699"/>
    <w:rsid w:val="0088029D"/>
    <w:rsid w:val="0088707D"/>
    <w:rsid w:val="00891A5A"/>
    <w:rsid w:val="00895477"/>
    <w:rsid w:val="008A0389"/>
    <w:rsid w:val="008A37A5"/>
    <w:rsid w:val="008A6727"/>
    <w:rsid w:val="008C047B"/>
    <w:rsid w:val="008C7C4A"/>
    <w:rsid w:val="008D0DC3"/>
    <w:rsid w:val="008D4046"/>
    <w:rsid w:val="008D743E"/>
    <w:rsid w:val="008E106B"/>
    <w:rsid w:val="008E5CA1"/>
    <w:rsid w:val="008F0895"/>
    <w:rsid w:val="008F10D8"/>
    <w:rsid w:val="008F438F"/>
    <w:rsid w:val="008F7306"/>
    <w:rsid w:val="009006D9"/>
    <w:rsid w:val="00903226"/>
    <w:rsid w:val="00905AC5"/>
    <w:rsid w:val="00911B93"/>
    <w:rsid w:val="00920012"/>
    <w:rsid w:val="009223E1"/>
    <w:rsid w:val="00930F50"/>
    <w:rsid w:val="00934E90"/>
    <w:rsid w:val="009363D0"/>
    <w:rsid w:val="00936BB6"/>
    <w:rsid w:val="00944DC6"/>
    <w:rsid w:val="0094653C"/>
    <w:rsid w:val="00957DE4"/>
    <w:rsid w:val="009629F6"/>
    <w:rsid w:val="00962C58"/>
    <w:rsid w:val="00963FB4"/>
    <w:rsid w:val="00965930"/>
    <w:rsid w:val="00966357"/>
    <w:rsid w:val="0097032C"/>
    <w:rsid w:val="00973AE5"/>
    <w:rsid w:val="0097449A"/>
    <w:rsid w:val="00976E74"/>
    <w:rsid w:val="00983100"/>
    <w:rsid w:val="00990A51"/>
    <w:rsid w:val="009914F4"/>
    <w:rsid w:val="00996C09"/>
    <w:rsid w:val="00997887"/>
    <w:rsid w:val="009A399A"/>
    <w:rsid w:val="009B4DFA"/>
    <w:rsid w:val="009B693B"/>
    <w:rsid w:val="009C4547"/>
    <w:rsid w:val="009C4936"/>
    <w:rsid w:val="009C4B9E"/>
    <w:rsid w:val="009D504C"/>
    <w:rsid w:val="009D54A5"/>
    <w:rsid w:val="009D7C38"/>
    <w:rsid w:val="009E3249"/>
    <w:rsid w:val="009E4A63"/>
    <w:rsid w:val="009E7576"/>
    <w:rsid w:val="009E7AC9"/>
    <w:rsid w:val="009F100E"/>
    <w:rsid w:val="009F33D0"/>
    <w:rsid w:val="009F3751"/>
    <w:rsid w:val="009F3B56"/>
    <w:rsid w:val="00A04019"/>
    <w:rsid w:val="00A0492D"/>
    <w:rsid w:val="00A14E3A"/>
    <w:rsid w:val="00A21EBA"/>
    <w:rsid w:val="00A22AB1"/>
    <w:rsid w:val="00A2642B"/>
    <w:rsid w:val="00A2646C"/>
    <w:rsid w:val="00A40409"/>
    <w:rsid w:val="00A407A0"/>
    <w:rsid w:val="00A40B84"/>
    <w:rsid w:val="00A443FF"/>
    <w:rsid w:val="00A52F61"/>
    <w:rsid w:val="00A53A5A"/>
    <w:rsid w:val="00A57F86"/>
    <w:rsid w:val="00A60C3D"/>
    <w:rsid w:val="00A620D0"/>
    <w:rsid w:val="00A643DF"/>
    <w:rsid w:val="00A64A3A"/>
    <w:rsid w:val="00A66CD2"/>
    <w:rsid w:val="00A73790"/>
    <w:rsid w:val="00A777DC"/>
    <w:rsid w:val="00A90AA9"/>
    <w:rsid w:val="00AA120F"/>
    <w:rsid w:val="00AA4674"/>
    <w:rsid w:val="00AB0F48"/>
    <w:rsid w:val="00AC0D1F"/>
    <w:rsid w:val="00AC2096"/>
    <w:rsid w:val="00AC225F"/>
    <w:rsid w:val="00AC437E"/>
    <w:rsid w:val="00AC6B52"/>
    <w:rsid w:val="00AD1A81"/>
    <w:rsid w:val="00AD3427"/>
    <w:rsid w:val="00AD3E2C"/>
    <w:rsid w:val="00AD5711"/>
    <w:rsid w:val="00AD72A8"/>
    <w:rsid w:val="00AE6EBE"/>
    <w:rsid w:val="00AE7A8D"/>
    <w:rsid w:val="00AF27C4"/>
    <w:rsid w:val="00AF6015"/>
    <w:rsid w:val="00B02014"/>
    <w:rsid w:val="00B07959"/>
    <w:rsid w:val="00B10082"/>
    <w:rsid w:val="00B10F21"/>
    <w:rsid w:val="00B21409"/>
    <w:rsid w:val="00B23EB0"/>
    <w:rsid w:val="00B424CE"/>
    <w:rsid w:val="00B42BF9"/>
    <w:rsid w:val="00B51502"/>
    <w:rsid w:val="00B518C4"/>
    <w:rsid w:val="00B558EA"/>
    <w:rsid w:val="00B56F9E"/>
    <w:rsid w:val="00B6524D"/>
    <w:rsid w:val="00B65ED2"/>
    <w:rsid w:val="00B665F4"/>
    <w:rsid w:val="00B71732"/>
    <w:rsid w:val="00B746DE"/>
    <w:rsid w:val="00B75130"/>
    <w:rsid w:val="00B7594E"/>
    <w:rsid w:val="00B7796B"/>
    <w:rsid w:val="00B77DE5"/>
    <w:rsid w:val="00B81F98"/>
    <w:rsid w:val="00B84705"/>
    <w:rsid w:val="00B84F45"/>
    <w:rsid w:val="00B85592"/>
    <w:rsid w:val="00B9193B"/>
    <w:rsid w:val="00B93C6E"/>
    <w:rsid w:val="00B93E95"/>
    <w:rsid w:val="00BA062C"/>
    <w:rsid w:val="00BA47C6"/>
    <w:rsid w:val="00BA56DC"/>
    <w:rsid w:val="00BA6CBB"/>
    <w:rsid w:val="00BB20ED"/>
    <w:rsid w:val="00BB2B2B"/>
    <w:rsid w:val="00BB65EC"/>
    <w:rsid w:val="00BB7377"/>
    <w:rsid w:val="00BC1153"/>
    <w:rsid w:val="00BD1A22"/>
    <w:rsid w:val="00BE1342"/>
    <w:rsid w:val="00BF4380"/>
    <w:rsid w:val="00C01E28"/>
    <w:rsid w:val="00C10B20"/>
    <w:rsid w:val="00C12029"/>
    <w:rsid w:val="00C13327"/>
    <w:rsid w:val="00C1496E"/>
    <w:rsid w:val="00C15800"/>
    <w:rsid w:val="00C15A7B"/>
    <w:rsid w:val="00C168C4"/>
    <w:rsid w:val="00C1762F"/>
    <w:rsid w:val="00C2464B"/>
    <w:rsid w:val="00C30CC4"/>
    <w:rsid w:val="00C31677"/>
    <w:rsid w:val="00C32451"/>
    <w:rsid w:val="00C341E2"/>
    <w:rsid w:val="00C36769"/>
    <w:rsid w:val="00C375FD"/>
    <w:rsid w:val="00C41A3F"/>
    <w:rsid w:val="00C449DA"/>
    <w:rsid w:val="00C5036C"/>
    <w:rsid w:val="00C528E7"/>
    <w:rsid w:val="00C52D7A"/>
    <w:rsid w:val="00C55E11"/>
    <w:rsid w:val="00C568E7"/>
    <w:rsid w:val="00C57E67"/>
    <w:rsid w:val="00C602F8"/>
    <w:rsid w:val="00C624C4"/>
    <w:rsid w:val="00C62707"/>
    <w:rsid w:val="00C62EDA"/>
    <w:rsid w:val="00C62F6A"/>
    <w:rsid w:val="00C638ED"/>
    <w:rsid w:val="00C77E48"/>
    <w:rsid w:val="00C90C20"/>
    <w:rsid w:val="00C93C51"/>
    <w:rsid w:val="00C964E9"/>
    <w:rsid w:val="00CA2AA9"/>
    <w:rsid w:val="00CA2C1A"/>
    <w:rsid w:val="00CA3776"/>
    <w:rsid w:val="00CA474F"/>
    <w:rsid w:val="00CC7761"/>
    <w:rsid w:val="00CD23E4"/>
    <w:rsid w:val="00CD317C"/>
    <w:rsid w:val="00CD3471"/>
    <w:rsid w:val="00CD37D2"/>
    <w:rsid w:val="00CD6CBF"/>
    <w:rsid w:val="00CE0F82"/>
    <w:rsid w:val="00CE115A"/>
    <w:rsid w:val="00CE3FFB"/>
    <w:rsid w:val="00CE5BA0"/>
    <w:rsid w:val="00CF12AB"/>
    <w:rsid w:val="00CF4D1F"/>
    <w:rsid w:val="00CF50BD"/>
    <w:rsid w:val="00D00D0A"/>
    <w:rsid w:val="00D01989"/>
    <w:rsid w:val="00D021F3"/>
    <w:rsid w:val="00D07643"/>
    <w:rsid w:val="00D10837"/>
    <w:rsid w:val="00D13773"/>
    <w:rsid w:val="00D17B7D"/>
    <w:rsid w:val="00D200A1"/>
    <w:rsid w:val="00D275D2"/>
    <w:rsid w:val="00D3246E"/>
    <w:rsid w:val="00D373CB"/>
    <w:rsid w:val="00D41261"/>
    <w:rsid w:val="00D4756A"/>
    <w:rsid w:val="00D5017A"/>
    <w:rsid w:val="00D572BE"/>
    <w:rsid w:val="00D63C7E"/>
    <w:rsid w:val="00D66A70"/>
    <w:rsid w:val="00D7372E"/>
    <w:rsid w:val="00D76D13"/>
    <w:rsid w:val="00D8302D"/>
    <w:rsid w:val="00D868D2"/>
    <w:rsid w:val="00D90B1E"/>
    <w:rsid w:val="00D95358"/>
    <w:rsid w:val="00DA196B"/>
    <w:rsid w:val="00DA1CF8"/>
    <w:rsid w:val="00DA2A70"/>
    <w:rsid w:val="00DA7573"/>
    <w:rsid w:val="00DA7E55"/>
    <w:rsid w:val="00DB04EE"/>
    <w:rsid w:val="00DB7531"/>
    <w:rsid w:val="00DB791F"/>
    <w:rsid w:val="00DC2A2E"/>
    <w:rsid w:val="00DC3CF8"/>
    <w:rsid w:val="00DD036F"/>
    <w:rsid w:val="00DD2004"/>
    <w:rsid w:val="00DD78C5"/>
    <w:rsid w:val="00DD7C1A"/>
    <w:rsid w:val="00DE4DA7"/>
    <w:rsid w:val="00DE6549"/>
    <w:rsid w:val="00DE7997"/>
    <w:rsid w:val="00DF0E40"/>
    <w:rsid w:val="00DF2B35"/>
    <w:rsid w:val="00DF4F39"/>
    <w:rsid w:val="00E025CA"/>
    <w:rsid w:val="00E11785"/>
    <w:rsid w:val="00E11D9A"/>
    <w:rsid w:val="00E15CE8"/>
    <w:rsid w:val="00E20BBD"/>
    <w:rsid w:val="00E31500"/>
    <w:rsid w:val="00E3404A"/>
    <w:rsid w:val="00E34AFC"/>
    <w:rsid w:val="00E47904"/>
    <w:rsid w:val="00E5303C"/>
    <w:rsid w:val="00E53AAE"/>
    <w:rsid w:val="00E6099C"/>
    <w:rsid w:val="00E73FDF"/>
    <w:rsid w:val="00E756FF"/>
    <w:rsid w:val="00E75F44"/>
    <w:rsid w:val="00E76990"/>
    <w:rsid w:val="00E922D8"/>
    <w:rsid w:val="00E94199"/>
    <w:rsid w:val="00E943C8"/>
    <w:rsid w:val="00E94900"/>
    <w:rsid w:val="00E94CE9"/>
    <w:rsid w:val="00EA1396"/>
    <w:rsid w:val="00EB4791"/>
    <w:rsid w:val="00EB72FE"/>
    <w:rsid w:val="00EC0684"/>
    <w:rsid w:val="00EC1902"/>
    <w:rsid w:val="00EC34AC"/>
    <w:rsid w:val="00ED0B86"/>
    <w:rsid w:val="00ED14D4"/>
    <w:rsid w:val="00EE02BB"/>
    <w:rsid w:val="00EE1171"/>
    <w:rsid w:val="00EE1CF9"/>
    <w:rsid w:val="00EE43FE"/>
    <w:rsid w:val="00EF160A"/>
    <w:rsid w:val="00EF25BB"/>
    <w:rsid w:val="00EF29A2"/>
    <w:rsid w:val="00EF4E91"/>
    <w:rsid w:val="00EF7C3F"/>
    <w:rsid w:val="00F03F6D"/>
    <w:rsid w:val="00F0401B"/>
    <w:rsid w:val="00F052BC"/>
    <w:rsid w:val="00F133CB"/>
    <w:rsid w:val="00F13BAD"/>
    <w:rsid w:val="00F14CCB"/>
    <w:rsid w:val="00F17F7A"/>
    <w:rsid w:val="00F23F41"/>
    <w:rsid w:val="00F309E0"/>
    <w:rsid w:val="00F357F5"/>
    <w:rsid w:val="00F365CF"/>
    <w:rsid w:val="00F41263"/>
    <w:rsid w:val="00F41742"/>
    <w:rsid w:val="00F5296A"/>
    <w:rsid w:val="00F54474"/>
    <w:rsid w:val="00F5747E"/>
    <w:rsid w:val="00F61671"/>
    <w:rsid w:val="00F64056"/>
    <w:rsid w:val="00F7575A"/>
    <w:rsid w:val="00F805EA"/>
    <w:rsid w:val="00F8307E"/>
    <w:rsid w:val="00F83E48"/>
    <w:rsid w:val="00F83F32"/>
    <w:rsid w:val="00F85A98"/>
    <w:rsid w:val="00F90C1B"/>
    <w:rsid w:val="00FA000C"/>
    <w:rsid w:val="00FB1F68"/>
    <w:rsid w:val="00FB471C"/>
    <w:rsid w:val="00FD1A6A"/>
    <w:rsid w:val="00FD1DDB"/>
    <w:rsid w:val="00FD4E16"/>
    <w:rsid w:val="00FE6F32"/>
    <w:rsid w:val="00FF2B85"/>
    <w:rsid w:val="00FF2D28"/>
    <w:rsid w:val="00FF342B"/>
    <w:rsid w:val="00FF5476"/>
    <w:rsid w:val="01267EB4"/>
    <w:rsid w:val="01485917"/>
    <w:rsid w:val="01BF4F54"/>
    <w:rsid w:val="027D30FD"/>
    <w:rsid w:val="03453D84"/>
    <w:rsid w:val="03896952"/>
    <w:rsid w:val="038E2376"/>
    <w:rsid w:val="04555AB8"/>
    <w:rsid w:val="061E0A5D"/>
    <w:rsid w:val="071F5D29"/>
    <w:rsid w:val="0783658F"/>
    <w:rsid w:val="07F357DA"/>
    <w:rsid w:val="07F41463"/>
    <w:rsid w:val="0A6262CA"/>
    <w:rsid w:val="0BB51BEA"/>
    <w:rsid w:val="0C0D59C7"/>
    <w:rsid w:val="0CD33B1C"/>
    <w:rsid w:val="0D2D48BF"/>
    <w:rsid w:val="0E8B6762"/>
    <w:rsid w:val="0EB03386"/>
    <w:rsid w:val="0ED80D05"/>
    <w:rsid w:val="0EEC1DEF"/>
    <w:rsid w:val="0F376BA5"/>
    <w:rsid w:val="0FF37A1F"/>
    <w:rsid w:val="106D0FDE"/>
    <w:rsid w:val="12126580"/>
    <w:rsid w:val="12517145"/>
    <w:rsid w:val="1263610F"/>
    <w:rsid w:val="12902B99"/>
    <w:rsid w:val="13197835"/>
    <w:rsid w:val="135C3A2D"/>
    <w:rsid w:val="13A76031"/>
    <w:rsid w:val="15967967"/>
    <w:rsid w:val="15AC4965"/>
    <w:rsid w:val="167861BC"/>
    <w:rsid w:val="171929FF"/>
    <w:rsid w:val="17853944"/>
    <w:rsid w:val="1891280A"/>
    <w:rsid w:val="18F35914"/>
    <w:rsid w:val="190E2382"/>
    <w:rsid w:val="19FF7623"/>
    <w:rsid w:val="1A526D9F"/>
    <w:rsid w:val="1A5A0689"/>
    <w:rsid w:val="1AFC2AD3"/>
    <w:rsid w:val="1BEA588C"/>
    <w:rsid w:val="1CB05C8F"/>
    <w:rsid w:val="1E5C2561"/>
    <w:rsid w:val="1F11471C"/>
    <w:rsid w:val="1FE77846"/>
    <w:rsid w:val="207974E9"/>
    <w:rsid w:val="20F546B7"/>
    <w:rsid w:val="211F7FB2"/>
    <w:rsid w:val="21943729"/>
    <w:rsid w:val="22570431"/>
    <w:rsid w:val="22FA349E"/>
    <w:rsid w:val="23483CBB"/>
    <w:rsid w:val="23815F75"/>
    <w:rsid w:val="23A6199D"/>
    <w:rsid w:val="2448271B"/>
    <w:rsid w:val="245D5F94"/>
    <w:rsid w:val="249F5D91"/>
    <w:rsid w:val="2540073D"/>
    <w:rsid w:val="257D795C"/>
    <w:rsid w:val="26587C11"/>
    <w:rsid w:val="280F67B2"/>
    <w:rsid w:val="28747EC4"/>
    <w:rsid w:val="2A413CA5"/>
    <w:rsid w:val="2A6558CD"/>
    <w:rsid w:val="2B1D744F"/>
    <w:rsid w:val="2B325CC2"/>
    <w:rsid w:val="2B8461EA"/>
    <w:rsid w:val="2D173C81"/>
    <w:rsid w:val="2F8044C8"/>
    <w:rsid w:val="303B43A3"/>
    <w:rsid w:val="30F47F68"/>
    <w:rsid w:val="31F12637"/>
    <w:rsid w:val="31F45714"/>
    <w:rsid w:val="32931C65"/>
    <w:rsid w:val="32A771C0"/>
    <w:rsid w:val="33725699"/>
    <w:rsid w:val="33DA6AF9"/>
    <w:rsid w:val="34531215"/>
    <w:rsid w:val="34870AA4"/>
    <w:rsid w:val="34900FB5"/>
    <w:rsid w:val="34E338F0"/>
    <w:rsid w:val="34ED788E"/>
    <w:rsid w:val="356072D9"/>
    <w:rsid w:val="35710584"/>
    <w:rsid w:val="359F1AD3"/>
    <w:rsid w:val="361946D4"/>
    <w:rsid w:val="36581311"/>
    <w:rsid w:val="37C95E17"/>
    <w:rsid w:val="37D64D5C"/>
    <w:rsid w:val="39794B01"/>
    <w:rsid w:val="39C06E38"/>
    <w:rsid w:val="3A2510AE"/>
    <w:rsid w:val="3A7E460D"/>
    <w:rsid w:val="3ACF0BA8"/>
    <w:rsid w:val="3C7045E3"/>
    <w:rsid w:val="3D3C5AAD"/>
    <w:rsid w:val="3E6B233F"/>
    <w:rsid w:val="3EA23F84"/>
    <w:rsid w:val="3F88172D"/>
    <w:rsid w:val="401606F1"/>
    <w:rsid w:val="40301770"/>
    <w:rsid w:val="40903C6A"/>
    <w:rsid w:val="412459CF"/>
    <w:rsid w:val="41BA4C29"/>
    <w:rsid w:val="426B2BA1"/>
    <w:rsid w:val="4330531E"/>
    <w:rsid w:val="43625BA6"/>
    <w:rsid w:val="440C6F04"/>
    <w:rsid w:val="44E64A7D"/>
    <w:rsid w:val="45C05105"/>
    <w:rsid w:val="46450DA9"/>
    <w:rsid w:val="47DA5A7D"/>
    <w:rsid w:val="498A4640"/>
    <w:rsid w:val="4C2A7F7D"/>
    <w:rsid w:val="4DD1627E"/>
    <w:rsid w:val="4E076FD7"/>
    <w:rsid w:val="4F714E5E"/>
    <w:rsid w:val="4F92034C"/>
    <w:rsid w:val="4FAD4E62"/>
    <w:rsid w:val="50202197"/>
    <w:rsid w:val="51316082"/>
    <w:rsid w:val="52507562"/>
    <w:rsid w:val="528A253E"/>
    <w:rsid w:val="52ED6391"/>
    <w:rsid w:val="534E5839"/>
    <w:rsid w:val="53E44EF7"/>
    <w:rsid w:val="559343A5"/>
    <w:rsid w:val="559C3E86"/>
    <w:rsid w:val="55A347B5"/>
    <w:rsid w:val="55ED413C"/>
    <w:rsid w:val="56454980"/>
    <w:rsid w:val="57DF0AFE"/>
    <w:rsid w:val="57EE326D"/>
    <w:rsid w:val="59852D46"/>
    <w:rsid w:val="59C34C00"/>
    <w:rsid w:val="5A0A3F69"/>
    <w:rsid w:val="5B093B5A"/>
    <w:rsid w:val="5B99618E"/>
    <w:rsid w:val="5C1B64A9"/>
    <w:rsid w:val="5CBA0FF0"/>
    <w:rsid w:val="5DE3614F"/>
    <w:rsid w:val="5DE72674"/>
    <w:rsid w:val="5EFE158E"/>
    <w:rsid w:val="5F037CBC"/>
    <w:rsid w:val="60384EED"/>
    <w:rsid w:val="61CE48B4"/>
    <w:rsid w:val="62527821"/>
    <w:rsid w:val="63532315"/>
    <w:rsid w:val="63B47FF0"/>
    <w:rsid w:val="649B5A1A"/>
    <w:rsid w:val="650D1BF9"/>
    <w:rsid w:val="65103F1D"/>
    <w:rsid w:val="6588393D"/>
    <w:rsid w:val="67691EF5"/>
    <w:rsid w:val="69F26EB1"/>
    <w:rsid w:val="6AE36FF0"/>
    <w:rsid w:val="6BA67EE1"/>
    <w:rsid w:val="6C952916"/>
    <w:rsid w:val="6D0D1684"/>
    <w:rsid w:val="6DB73A80"/>
    <w:rsid w:val="6DF77274"/>
    <w:rsid w:val="6EF0195C"/>
    <w:rsid w:val="6FEA6CCC"/>
    <w:rsid w:val="6FF66578"/>
    <w:rsid w:val="70353272"/>
    <w:rsid w:val="703E7145"/>
    <w:rsid w:val="7084719B"/>
    <w:rsid w:val="70A204D5"/>
    <w:rsid w:val="70AF2F30"/>
    <w:rsid w:val="71496613"/>
    <w:rsid w:val="71985BBD"/>
    <w:rsid w:val="72441840"/>
    <w:rsid w:val="72C43D9D"/>
    <w:rsid w:val="72D10564"/>
    <w:rsid w:val="73832827"/>
    <w:rsid w:val="73AD27BB"/>
    <w:rsid w:val="742E7F8D"/>
    <w:rsid w:val="745473BD"/>
    <w:rsid w:val="7466086E"/>
    <w:rsid w:val="7489089A"/>
    <w:rsid w:val="74F66AA3"/>
    <w:rsid w:val="755D3F7F"/>
    <w:rsid w:val="75D64B09"/>
    <w:rsid w:val="7710401D"/>
    <w:rsid w:val="7758744C"/>
    <w:rsid w:val="776E4EDE"/>
    <w:rsid w:val="777D02A3"/>
    <w:rsid w:val="791B6C48"/>
    <w:rsid w:val="7BF04175"/>
    <w:rsid w:val="7C6C00BF"/>
    <w:rsid w:val="7C9250C8"/>
    <w:rsid w:val="7D4C1EFB"/>
    <w:rsid w:val="7D632E88"/>
    <w:rsid w:val="7D81796F"/>
    <w:rsid w:val="7DD04C57"/>
    <w:rsid w:val="7DF341CD"/>
    <w:rsid w:val="7E5B1168"/>
    <w:rsid w:val="7E710BD2"/>
    <w:rsid w:val="7FDC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Theme="minorHAnsi" w:hAnsiTheme="minorHAnsi" w:eastAsiaTheme="minorEastAsia" w:cstheme="minorBidi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spacing w:before="120" w:after="60"/>
      <w:outlineLvl w:val="0"/>
    </w:pPr>
    <w:rPr>
      <w:rFonts w:ascii="Arial" w:hAnsi="Arial"/>
      <w:b/>
    </w:rPr>
  </w:style>
  <w:style w:type="paragraph" w:styleId="3">
    <w:name w:val="heading 2"/>
    <w:basedOn w:val="1"/>
    <w:next w:val="1"/>
    <w:qFormat/>
    <w:uiPriority w:val="0"/>
    <w:pPr>
      <w:numPr>
        <w:ilvl w:val="1"/>
        <w:numId w:val="1"/>
      </w:numPr>
      <w:ind w:left="425"/>
      <w:outlineLvl w:val="1"/>
    </w:pPr>
    <w:rPr>
      <w:rFonts w:eastAsia="宋体"/>
      <w:bCs/>
      <w:sz w:val="24"/>
    </w:rPr>
  </w:style>
  <w:style w:type="paragraph" w:styleId="4">
    <w:name w:val="heading 3"/>
    <w:basedOn w:val="1"/>
    <w:next w:val="1"/>
    <w:qFormat/>
    <w:uiPriority w:val="0"/>
    <w:pPr>
      <w:tabs>
        <w:tab w:val="left" w:pos="786"/>
      </w:tabs>
      <w:jc w:val="both"/>
      <w:outlineLvl w:val="2"/>
    </w:pPr>
    <w:rPr>
      <w:rFonts w:ascii="Times New Roman" w:hAnsi="Times New Roman" w:eastAsia="仿宋_GB2312"/>
      <w:b/>
      <w:sz w:val="24"/>
      <w:szCs w:val="24"/>
    </w:rPr>
  </w:style>
  <w:style w:type="paragraph" w:styleId="5">
    <w:name w:val="heading 4"/>
    <w:basedOn w:val="2"/>
    <w:next w:val="1"/>
    <w:qFormat/>
    <w:uiPriority w:val="0"/>
    <w:pPr>
      <w:numPr>
        <w:ilvl w:val="3"/>
      </w:numPr>
      <w:outlineLvl w:val="3"/>
    </w:pPr>
    <w:rPr>
      <w:b w:val="0"/>
      <w:sz w:val="20"/>
    </w:rPr>
  </w:style>
  <w:style w:type="paragraph" w:styleId="6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7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8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</w:style>
  <w:style w:type="paragraph" w:styleId="9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38">
    <w:name w:val="Default Paragraph Font"/>
    <w:semiHidden/>
    <w:unhideWhenUsed/>
    <w:qFormat/>
    <w:uiPriority w:val="1"/>
  </w:style>
  <w:style w:type="table" w:default="1" w:styleId="3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semiHidden/>
    <w:qFormat/>
    <w:uiPriority w:val="0"/>
    <w:pPr>
      <w:ind w:left="1200"/>
    </w:pPr>
    <w:rPr>
      <w:sz w:val="18"/>
    </w:rPr>
  </w:style>
  <w:style w:type="paragraph" w:styleId="12">
    <w:name w:val="Normal Indent"/>
    <w:basedOn w:val="1"/>
    <w:qFormat/>
    <w:uiPriority w:val="0"/>
    <w:pPr>
      <w:ind w:left="900" w:hanging="900"/>
    </w:pPr>
  </w:style>
  <w:style w:type="paragraph" w:styleId="13">
    <w:name w:val="Document Map"/>
    <w:basedOn w:val="1"/>
    <w:semiHidden/>
    <w:qFormat/>
    <w:uiPriority w:val="0"/>
    <w:pPr>
      <w:shd w:val="clear" w:color="auto" w:fill="000080"/>
    </w:pPr>
    <w:rPr>
      <w:rFonts w:ascii="Tahoma" w:hAnsi="Tahoma"/>
    </w:rPr>
  </w:style>
  <w:style w:type="paragraph" w:styleId="14">
    <w:name w:val="annotation text"/>
    <w:basedOn w:val="1"/>
    <w:link w:val="65"/>
    <w:qFormat/>
    <w:uiPriority w:val="0"/>
  </w:style>
  <w:style w:type="paragraph" w:styleId="15">
    <w:name w:val="Body Text"/>
    <w:basedOn w:val="1"/>
    <w:qFormat/>
    <w:uiPriority w:val="0"/>
    <w:pPr>
      <w:keepLines/>
      <w:spacing w:after="120"/>
      <w:ind w:left="720"/>
    </w:pPr>
  </w:style>
  <w:style w:type="paragraph" w:styleId="16">
    <w:name w:val="Body Text Indent"/>
    <w:basedOn w:val="1"/>
    <w:qFormat/>
    <w:uiPriority w:val="0"/>
    <w:pPr>
      <w:ind w:left="720"/>
    </w:pPr>
    <w:rPr>
      <w:i/>
      <w:color w:val="0000FF"/>
      <w:u w:val="single"/>
    </w:rPr>
  </w:style>
  <w:style w:type="paragraph" w:styleId="17">
    <w:name w:val="toc 5"/>
    <w:basedOn w:val="1"/>
    <w:next w:val="1"/>
    <w:semiHidden/>
    <w:qFormat/>
    <w:uiPriority w:val="0"/>
    <w:pPr>
      <w:ind w:left="800"/>
    </w:pPr>
    <w:rPr>
      <w:sz w:val="18"/>
    </w:rPr>
  </w:style>
  <w:style w:type="paragraph" w:styleId="18">
    <w:name w:val="toc 3"/>
    <w:basedOn w:val="1"/>
    <w:next w:val="1"/>
    <w:semiHidden/>
    <w:qFormat/>
    <w:uiPriority w:val="0"/>
    <w:pPr>
      <w:ind w:left="400"/>
    </w:pPr>
    <w:rPr>
      <w:i/>
    </w:rPr>
  </w:style>
  <w:style w:type="paragraph" w:styleId="19">
    <w:name w:val="toc 8"/>
    <w:basedOn w:val="1"/>
    <w:next w:val="1"/>
    <w:semiHidden/>
    <w:qFormat/>
    <w:uiPriority w:val="0"/>
    <w:pPr>
      <w:ind w:left="1400"/>
    </w:pPr>
    <w:rPr>
      <w:sz w:val="18"/>
    </w:rPr>
  </w:style>
  <w:style w:type="paragraph" w:styleId="20">
    <w:name w:val="Date"/>
    <w:basedOn w:val="1"/>
    <w:next w:val="1"/>
    <w:qFormat/>
    <w:uiPriority w:val="0"/>
    <w:pPr>
      <w:spacing w:line="240" w:lineRule="auto"/>
      <w:ind w:left="100" w:leftChars="2500"/>
      <w:jc w:val="both"/>
    </w:pPr>
    <w:rPr>
      <w:kern w:val="2"/>
      <w:szCs w:val="24"/>
    </w:rPr>
  </w:style>
  <w:style w:type="paragraph" w:styleId="21">
    <w:name w:val="Body Text Indent 2"/>
    <w:basedOn w:val="1"/>
    <w:qFormat/>
    <w:uiPriority w:val="0"/>
    <w:pPr>
      <w:ind w:left="392" w:hanging="392"/>
    </w:pPr>
    <w:rPr>
      <w:rFonts w:ascii="宋体"/>
    </w:rPr>
  </w:style>
  <w:style w:type="paragraph" w:styleId="22">
    <w:name w:val="Balloon Text"/>
    <w:basedOn w:val="1"/>
    <w:semiHidden/>
    <w:qFormat/>
    <w:uiPriority w:val="0"/>
    <w:rPr>
      <w:sz w:val="18"/>
      <w:szCs w:val="18"/>
    </w:rPr>
  </w:style>
  <w:style w:type="paragraph" w:styleId="23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24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paragraph" w:styleId="25">
    <w:name w:val="toc 1"/>
    <w:basedOn w:val="1"/>
    <w:next w:val="1"/>
    <w:semiHidden/>
    <w:qFormat/>
    <w:uiPriority w:val="0"/>
    <w:pPr>
      <w:spacing w:before="120" w:after="120"/>
    </w:pPr>
    <w:rPr>
      <w:b/>
      <w:caps/>
    </w:rPr>
  </w:style>
  <w:style w:type="paragraph" w:styleId="26">
    <w:name w:val="toc 4"/>
    <w:basedOn w:val="1"/>
    <w:next w:val="1"/>
    <w:semiHidden/>
    <w:qFormat/>
    <w:uiPriority w:val="0"/>
    <w:pPr>
      <w:ind w:left="600"/>
    </w:pPr>
    <w:rPr>
      <w:sz w:val="18"/>
    </w:rPr>
  </w:style>
  <w:style w:type="paragraph" w:styleId="27">
    <w:name w:val="Subtitle"/>
    <w:basedOn w:val="1"/>
    <w:qFormat/>
    <w:uiPriority w:val="0"/>
    <w:pPr>
      <w:spacing w:after="60"/>
      <w:jc w:val="center"/>
    </w:pPr>
    <w:rPr>
      <w:rFonts w:ascii="Arial" w:hAnsi="Arial"/>
      <w:i/>
      <w:sz w:val="36"/>
      <w:lang w:val="en-AU"/>
    </w:rPr>
  </w:style>
  <w:style w:type="paragraph" w:styleId="28">
    <w:name w:val="footnote text"/>
    <w:basedOn w:val="1"/>
    <w:semiHidden/>
    <w:qFormat/>
    <w:uiPriority w:val="0"/>
    <w:pPr>
      <w:keepNext/>
      <w:keepLines/>
      <w:pBdr>
        <w:bottom w:val="single" w:color="000000" w:sz="6" w:space="0"/>
      </w:pBdr>
      <w:spacing w:before="40" w:after="40"/>
      <w:ind w:left="360" w:hanging="360"/>
    </w:pPr>
    <w:rPr>
      <w:rFonts w:ascii="Helvetica" w:hAnsi="Helvetica"/>
      <w:sz w:val="16"/>
    </w:rPr>
  </w:style>
  <w:style w:type="paragraph" w:styleId="29">
    <w:name w:val="toc 6"/>
    <w:basedOn w:val="1"/>
    <w:next w:val="1"/>
    <w:semiHidden/>
    <w:qFormat/>
    <w:uiPriority w:val="0"/>
    <w:pPr>
      <w:ind w:left="1000"/>
    </w:pPr>
    <w:rPr>
      <w:sz w:val="18"/>
    </w:rPr>
  </w:style>
  <w:style w:type="paragraph" w:styleId="30">
    <w:name w:val="Body Text Indent 3"/>
    <w:basedOn w:val="1"/>
    <w:qFormat/>
    <w:uiPriority w:val="0"/>
    <w:pPr>
      <w:ind w:left="360"/>
    </w:pPr>
    <w:rPr>
      <w:rFonts w:ascii="宋体"/>
      <w:sz w:val="22"/>
    </w:rPr>
  </w:style>
  <w:style w:type="paragraph" w:styleId="31">
    <w:name w:val="toc 2"/>
    <w:basedOn w:val="1"/>
    <w:next w:val="1"/>
    <w:semiHidden/>
    <w:qFormat/>
    <w:uiPriority w:val="0"/>
    <w:pPr>
      <w:ind w:left="200"/>
    </w:pPr>
    <w:rPr>
      <w:smallCaps/>
    </w:rPr>
  </w:style>
  <w:style w:type="paragraph" w:styleId="32">
    <w:name w:val="toc 9"/>
    <w:basedOn w:val="1"/>
    <w:next w:val="1"/>
    <w:semiHidden/>
    <w:qFormat/>
    <w:uiPriority w:val="0"/>
    <w:pPr>
      <w:ind w:left="1600"/>
    </w:pPr>
    <w:rPr>
      <w:sz w:val="18"/>
    </w:rPr>
  </w:style>
  <w:style w:type="paragraph" w:styleId="33">
    <w:name w:val="Body Text 2"/>
    <w:basedOn w:val="1"/>
    <w:qFormat/>
    <w:uiPriority w:val="0"/>
    <w:rPr>
      <w:i/>
      <w:color w:val="0000FF"/>
    </w:rPr>
  </w:style>
  <w:style w:type="paragraph" w:styleId="34">
    <w:name w:val="Title"/>
    <w:basedOn w:val="1"/>
    <w:next w:val="1"/>
    <w:qFormat/>
    <w:uiPriority w:val="0"/>
    <w:pPr>
      <w:spacing w:line="240" w:lineRule="auto"/>
      <w:jc w:val="center"/>
    </w:pPr>
    <w:rPr>
      <w:rFonts w:ascii="Arial" w:hAnsi="Arial"/>
      <w:b/>
      <w:sz w:val="36"/>
    </w:rPr>
  </w:style>
  <w:style w:type="paragraph" w:styleId="35">
    <w:name w:val="annotation subject"/>
    <w:basedOn w:val="14"/>
    <w:next w:val="14"/>
    <w:link w:val="64"/>
    <w:qFormat/>
    <w:uiPriority w:val="0"/>
    <w:rPr>
      <w:b/>
      <w:bCs/>
    </w:rPr>
  </w:style>
  <w:style w:type="table" w:styleId="37">
    <w:name w:val="Table Grid"/>
    <w:basedOn w:val="36"/>
    <w:qFormat/>
    <w:uiPriority w:val="59"/>
    <w:rPr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9">
    <w:name w:val="Strong"/>
    <w:qFormat/>
    <w:uiPriority w:val="0"/>
    <w:rPr>
      <w:b/>
      <w:bCs/>
    </w:rPr>
  </w:style>
  <w:style w:type="character" w:styleId="40">
    <w:name w:val="page number"/>
    <w:basedOn w:val="38"/>
    <w:qFormat/>
    <w:uiPriority w:val="0"/>
  </w:style>
  <w:style w:type="character" w:styleId="41">
    <w:name w:val="FollowedHyperlink"/>
    <w:qFormat/>
    <w:uiPriority w:val="0"/>
    <w:rPr>
      <w:color w:val="800080"/>
      <w:u w:val="single"/>
    </w:rPr>
  </w:style>
  <w:style w:type="character" w:styleId="42">
    <w:name w:val="Hyperlink"/>
    <w:qFormat/>
    <w:uiPriority w:val="0"/>
    <w:rPr>
      <w:color w:val="0000FF"/>
      <w:u w:val="single"/>
    </w:rPr>
  </w:style>
  <w:style w:type="character" w:styleId="43">
    <w:name w:val="annotation reference"/>
    <w:qFormat/>
    <w:uiPriority w:val="0"/>
    <w:rPr>
      <w:sz w:val="21"/>
      <w:szCs w:val="21"/>
    </w:rPr>
  </w:style>
  <w:style w:type="character" w:styleId="44">
    <w:name w:val="footnote reference"/>
    <w:semiHidden/>
    <w:qFormat/>
    <w:uiPriority w:val="0"/>
    <w:rPr>
      <w:sz w:val="20"/>
      <w:vertAlign w:val="superscript"/>
    </w:rPr>
  </w:style>
  <w:style w:type="paragraph" w:customStyle="1" w:styleId="45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46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47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48">
    <w:name w:val="Comment"/>
    <w:basedOn w:val="1"/>
    <w:qFormat/>
    <w:uiPriority w:val="0"/>
    <w:pPr>
      <w:widowControl/>
      <w:spacing w:after="120" w:line="240" w:lineRule="auto"/>
    </w:pPr>
    <w:rPr>
      <w:i/>
      <w:color w:val="000080"/>
      <w:sz w:val="22"/>
    </w:rPr>
  </w:style>
  <w:style w:type="paragraph" w:customStyle="1" w:styleId="49">
    <w:name w:val="Paragraph3"/>
    <w:basedOn w:val="1"/>
    <w:qFormat/>
    <w:uiPriority w:val="0"/>
    <w:pPr>
      <w:spacing w:before="80" w:line="240" w:lineRule="auto"/>
      <w:ind w:left="1530"/>
      <w:jc w:val="both"/>
    </w:pPr>
  </w:style>
  <w:style w:type="paragraph" w:customStyle="1" w:styleId="50">
    <w:name w:val="Bullet1"/>
    <w:basedOn w:val="1"/>
    <w:qFormat/>
    <w:uiPriority w:val="0"/>
    <w:pPr>
      <w:ind w:left="720" w:hanging="432"/>
    </w:pPr>
  </w:style>
  <w:style w:type="paragraph" w:customStyle="1" w:styleId="51">
    <w:name w:val="InfoBlue"/>
    <w:basedOn w:val="1"/>
    <w:next w:val="15"/>
    <w:qFormat/>
    <w:uiPriority w:val="0"/>
    <w:pPr>
      <w:tabs>
        <w:tab w:val="left" w:pos="882"/>
      </w:tabs>
      <w:spacing w:before="120" w:after="120"/>
      <w:ind w:left="392" w:firstLine="8"/>
    </w:pPr>
    <w:rPr>
      <w:rFonts w:ascii="Arial" w:hAnsi="Arial"/>
      <w:color w:val="0000FF"/>
    </w:rPr>
  </w:style>
  <w:style w:type="paragraph" w:customStyle="1" w:styleId="52">
    <w:name w:val="Paragraph4"/>
    <w:basedOn w:val="1"/>
    <w:qFormat/>
    <w:uiPriority w:val="0"/>
    <w:pPr>
      <w:spacing w:before="80" w:line="240" w:lineRule="auto"/>
      <w:ind w:left="2250"/>
      <w:jc w:val="both"/>
    </w:pPr>
  </w:style>
  <w:style w:type="paragraph" w:customStyle="1" w:styleId="53">
    <w:name w:val="Paragraph2"/>
    <w:basedOn w:val="1"/>
    <w:qFormat/>
    <w:uiPriority w:val="0"/>
    <w:pPr>
      <w:spacing w:before="80"/>
      <w:ind w:left="720"/>
      <w:jc w:val="both"/>
    </w:pPr>
    <w:rPr>
      <w:color w:val="000000"/>
      <w:lang w:val="en-AU"/>
    </w:rPr>
  </w:style>
  <w:style w:type="paragraph" w:customStyle="1" w:styleId="54">
    <w:name w:val="HD标题3"/>
    <w:basedOn w:val="1"/>
    <w:qFormat/>
    <w:uiPriority w:val="0"/>
    <w:pPr>
      <w:spacing w:before="360" w:line="480" w:lineRule="atLeast"/>
      <w:jc w:val="both"/>
    </w:pPr>
    <w:rPr>
      <w:rFonts w:eastAsia="黑体"/>
      <w:b/>
      <w:kern w:val="2"/>
      <w:sz w:val="28"/>
    </w:rPr>
  </w:style>
  <w:style w:type="paragraph" w:customStyle="1" w:styleId="55">
    <w:name w:val="Main Title"/>
    <w:basedOn w:val="1"/>
    <w:qFormat/>
    <w:uiPriority w:val="0"/>
    <w:pPr>
      <w:spacing w:before="480" w:after="60" w:line="240" w:lineRule="auto"/>
      <w:jc w:val="center"/>
    </w:pPr>
    <w:rPr>
      <w:rFonts w:ascii="Arial" w:hAnsi="Arial"/>
      <w:b/>
      <w:kern w:val="28"/>
      <w:sz w:val="32"/>
    </w:rPr>
  </w:style>
  <w:style w:type="paragraph" w:customStyle="1" w:styleId="56">
    <w:name w:val="注释"/>
    <w:basedOn w:val="1"/>
    <w:qFormat/>
    <w:uiPriority w:val="0"/>
    <w:rPr>
      <w:color w:val="0000FF"/>
    </w:rPr>
  </w:style>
  <w:style w:type="paragraph" w:customStyle="1" w:styleId="57">
    <w:name w:val="Bullet"/>
    <w:basedOn w:val="1"/>
    <w:qFormat/>
    <w:uiPriority w:val="0"/>
    <w:pPr>
      <w:widowControl/>
      <w:tabs>
        <w:tab w:val="left" w:pos="720"/>
      </w:tabs>
      <w:spacing w:before="120" w:line="240" w:lineRule="auto"/>
      <w:ind w:left="720" w:right="360"/>
      <w:jc w:val="both"/>
    </w:pPr>
    <w:rPr>
      <w:rFonts w:ascii="Book Antiqua" w:hAnsi="Book Antiqua"/>
    </w:rPr>
  </w:style>
  <w:style w:type="paragraph" w:customStyle="1" w:styleId="58">
    <w:name w:val="Body"/>
    <w:basedOn w:val="1"/>
    <w:qFormat/>
    <w:uiPriority w:val="0"/>
    <w:pPr>
      <w:widowControl/>
      <w:spacing w:before="120" w:line="240" w:lineRule="auto"/>
      <w:jc w:val="both"/>
    </w:pPr>
    <w:rPr>
      <w:rFonts w:ascii="Book Antiqua" w:hAnsi="Book Antiqua"/>
      <w:lang w:eastAsia="en-US"/>
    </w:rPr>
  </w:style>
  <w:style w:type="paragraph" w:customStyle="1" w:styleId="59">
    <w:name w:val="HD正文1"/>
    <w:basedOn w:val="1"/>
    <w:qFormat/>
    <w:uiPriority w:val="0"/>
    <w:pPr>
      <w:spacing w:line="440" w:lineRule="atLeast"/>
      <w:ind w:firstLine="540"/>
      <w:jc w:val="both"/>
    </w:pPr>
    <w:rPr>
      <w:kern w:val="2"/>
      <w:sz w:val="24"/>
    </w:rPr>
  </w:style>
  <w:style w:type="paragraph" w:customStyle="1" w:styleId="60">
    <w:name w:val="Paragraph1"/>
    <w:basedOn w:val="1"/>
    <w:qFormat/>
    <w:uiPriority w:val="0"/>
    <w:pPr>
      <w:spacing w:before="80" w:line="240" w:lineRule="auto"/>
      <w:jc w:val="both"/>
    </w:pPr>
  </w:style>
  <w:style w:type="paragraph" w:customStyle="1" w:styleId="61">
    <w:name w:val="Tabletext"/>
    <w:basedOn w:val="1"/>
    <w:qFormat/>
    <w:uiPriority w:val="0"/>
    <w:pPr>
      <w:keepLines/>
      <w:spacing w:after="120"/>
    </w:pPr>
  </w:style>
  <w:style w:type="paragraph" w:customStyle="1" w:styleId="62">
    <w:name w:val="Bullet2"/>
    <w:basedOn w:val="1"/>
    <w:qFormat/>
    <w:uiPriority w:val="0"/>
    <w:pPr>
      <w:ind w:left="1440" w:hanging="360"/>
    </w:pPr>
    <w:rPr>
      <w:color w:val="000080"/>
    </w:rPr>
  </w:style>
  <w:style w:type="paragraph" w:customStyle="1" w:styleId="6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cs="宋体" w:hAnsiTheme="minorHAnsi" w:eastAsiaTheme="minorEastAsia"/>
      <w:color w:val="000000"/>
      <w:sz w:val="24"/>
      <w:szCs w:val="24"/>
      <w:lang w:val="en-US" w:eastAsia="zh-CN" w:bidi="ar-SA"/>
    </w:rPr>
  </w:style>
  <w:style w:type="character" w:customStyle="1" w:styleId="64">
    <w:name w:val="批注主题 字符"/>
    <w:link w:val="35"/>
    <w:qFormat/>
    <w:uiPriority w:val="0"/>
    <w:rPr>
      <w:b/>
      <w:bCs/>
      <w:sz w:val="21"/>
    </w:rPr>
  </w:style>
  <w:style w:type="character" w:customStyle="1" w:styleId="65">
    <w:name w:val="批注文字 字符"/>
    <w:link w:val="14"/>
    <w:qFormat/>
    <w:uiPriority w:val="0"/>
    <w:rPr>
      <w:sz w:val="21"/>
    </w:rPr>
  </w:style>
  <w:style w:type="paragraph" w:styleId="66">
    <w:name w:val="List Paragraph"/>
    <w:basedOn w:val="1"/>
    <w:qFormat/>
    <w:uiPriority w:val="34"/>
    <w:pPr>
      <w:ind w:firstLine="420" w:firstLineChars="200"/>
    </w:pPr>
  </w:style>
  <w:style w:type="character" w:customStyle="1" w:styleId="67">
    <w:name w:val="正文文本 + MingLiU"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13"/>
      <w:szCs w:val="13"/>
      <w:u w:val="none"/>
      <w:lang w:val="zh-TW"/>
    </w:rPr>
  </w:style>
  <w:style w:type="character" w:customStyle="1" w:styleId="68">
    <w:name w:val="正文文本3"/>
    <w:qFormat/>
    <w:uiPriority w:val="0"/>
    <w:rPr>
      <w:rFonts w:ascii="Arial Unicode MS" w:hAnsi="Arial Unicode MS" w:eastAsia="Arial Unicode MS" w:cs="Arial Unicode MS"/>
      <w:color w:val="000000"/>
      <w:spacing w:val="0"/>
      <w:w w:val="100"/>
      <w:position w:val="0"/>
      <w:sz w:val="13"/>
      <w:szCs w:val="13"/>
      <w:u w:val="no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ISO9000\&#20449;&#28304;&#21672;&#35759;\&#21508;&#31181;&#27169;&#26495;\&#25991;&#26723;&#27169;&#26495;(ISO)1.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文档模板(ISO)1.1.dot</Template>
  <Company>mzhx</Company>
  <Pages>6</Pages>
  <Words>1511</Words>
  <Characters>1689</Characters>
  <Lines>20</Lines>
  <Paragraphs>11</Paragraphs>
  <TotalTime>0</TotalTime>
  <ScaleCrop>false</ScaleCrop>
  <LinksUpToDate>false</LinksUpToDate>
  <CharactersWithSpaces>1762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2020-08-20T15:17:00Z</dcterms:created>
  <dc:creator>renzt</dc:creator>
  <cp:lastModifiedBy>Liyoung</cp:lastModifiedBy>
  <cp:lastPrinted>2018-05-31T02:20:00Z</cp:lastPrinted>
  <dcterms:modified xsi:type="dcterms:W3CDTF">2022-08-17T01:36:03Z</dcterms:modified>
  <dc:title>质量记录控制程序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版本号">
    <vt:lpwstr>&lt;版本号&gt;</vt:lpwstr>
  </property>
  <property fmtid="{D5CDD505-2E9C-101B-9397-08002B2CF9AE}" pid="3" name="受控状态">
    <vt:lpwstr>&lt;受控状态&gt;</vt:lpwstr>
  </property>
  <property fmtid="{D5CDD505-2E9C-101B-9397-08002B2CF9AE}" pid="4" name="文件编号">
    <vt:lpwstr>&lt;文件编号&gt;</vt:lpwstr>
  </property>
  <property fmtid="{D5CDD505-2E9C-101B-9397-08002B2CF9AE}" pid="5" name="KSOProductBuildVer">
    <vt:lpwstr>2052-11.1.0.12313</vt:lpwstr>
  </property>
  <property fmtid="{D5CDD505-2E9C-101B-9397-08002B2CF9AE}" pid="6" name="审核1">
    <vt:lpwstr>杨超</vt:lpwstr>
  </property>
  <property fmtid="{D5CDD505-2E9C-101B-9397-08002B2CF9AE}" pid="7" name="批准1">
    <vt:lpwstr>韩强</vt:lpwstr>
  </property>
  <property fmtid="{D5CDD505-2E9C-101B-9397-08002B2CF9AE}" pid="8" name="编制1">
    <vt:lpwstr>李洋</vt:lpwstr>
  </property>
  <property fmtid="{D5CDD505-2E9C-101B-9397-08002B2CF9AE}" pid="9" name="批准1日期">
    <vt:lpwstr>2022-06-27</vt:lpwstr>
  </property>
  <property fmtid="{D5CDD505-2E9C-101B-9397-08002B2CF9AE}" pid="10" name="批准1日期1">
    <vt:lpwstr> </vt:lpwstr>
  </property>
  <property fmtid="{D5CDD505-2E9C-101B-9397-08002B2CF9AE}" pid="11" name="ICV">
    <vt:lpwstr>5A004EAF25744BD8A2FDE777F2E0D736</vt:lpwstr>
  </property>
</Properties>
</file>