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pacing w:line="400" w:lineRule="exact"/>
        <w:jc w:val="both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bookmarkStart w:id="45" w:name="_GoBack"/>
      <w:bookmarkEnd w:id="45"/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ascii="Times New Roman" w:hAnsi="Times New Roman" w:eastAsia="仿宋_GB2312" w:cs="Times New Roman"/>
          <w:sz w:val="24"/>
          <w:szCs w:val="24"/>
        </w:rPr>
        <w:t>GY/INMAI-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GX-3-L2-JG-000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7</w:t>
      </w:r>
    </w:p>
    <w:p>
      <w:pPr>
        <w:spacing w:line="400" w:lineRule="exact"/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hint="eastAsia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号：</w:t>
      </w:r>
      <w:r>
        <w:rPr>
          <w:rFonts w:ascii="Times New Roman" w:hAnsi="Times New Roman" w:eastAsia="宋体" w:cs="Times New Roman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>
      <w:pPr>
        <w:spacing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>
      <w:pPr>
        <w:spacing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信号发生器</w:t>
      </w:r>
    </w:p>
    <w:p>
      <w:pPr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GX-LVDS-10K</w:t>
      </w:r>
    </w:p>
    <w:p>
      <w:pPr>
        <w:tabs>
          <w:tab w:val="left" w:pos="8190"/>
        </w:tabs>
        <w:spacing w:line="300" w:lineRule="auto"/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技术需求书</w:t>
      </w: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 制：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编制1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李洋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 核：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审核1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杨超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 准：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批准1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任盛伟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eastAsia="宋体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批准日期：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批准1日期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2021-06-04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北京铁科英迈技术有限公司</w:t>
      </w:r>
    </w:p>
    <w:p>
      <w:pPr>
        <w:jc w:val="center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b/>
          <w:sz w:val="24"/>
          <w:szCs w:val="24"/>
        </w:rPr>
        <w:instrText xml:space="preserve"> DOCPROPERTY 批准1日期1 \* MERGEFORMAT </w:instrText>
      </w:r>
      <w:r>
        <w:rPr>
          <w:rFonts w:ascii="Times New Roman" w:hAnsi="Times New Roman" w:eastAsia="黑体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b/>
          <w:sz w:val="24"/>
          <w:szCs w:val="24"/>
        </w:rPr>
        <w:t>发布</w:t>
      </w:r>
    </w:p>
    <w:p>
      <w:pPr>
        <w:jc w:val="center"/>
        <w:rPr>
          <w:rFonts w:ascii="Times New Roman" w:hAnsi="Times New Roman" w:cs="Times New Roma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7" w:h="16840"/>
          <w:pgMar w:top="1571" w:right="1191" w:bottom="1247" w:left="1191" w:header="851" w:footer="567" w:gutter="56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286" w:charSpace="535"/>
        </w:sect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变  更  记  录</w:t>
      </w:r>
    </w:p>
    <w:tbl>
      <w:tblPr>
        <w:tblStyle w:val="36"/>
        <w:tblW w:w="91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163"/>
        <w:gridCol w:w="1444"/>
        <w:gridCol w:w="1343"/>
        <w:gridCol w:w="1319"/>
        <w:gridCol w:w="1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3163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修改/日期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审核/日期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批准/日期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实施日期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V1.0  新建技术需求书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李洋/20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17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</w:rPr>
        <w:t>注：对该文件内容增加、删除或修改均需填写变更记录，详细记载变更信息，以保证其可追溯性。</w:t>
      </w:r>
    </w:p>
    <w:p>
      <w:pPr>
        <w:rPr>
          <w:rFonts w:ascii="Times New Roman" w:hAnsi="Times New Roman" w:cs="Times New Roman"/>
        </w:rPr>
        <w:sectPr>
          <w:footerReference r:id="rId9" w:type="default"/>
          <w:pgSz w:w="11907" w:h="16840"/>
          <w:pgMar w:top="1571" w:right="1191" w:bottom="1247" w:left="1191" w:header="851" w:footer="567" w:gutter="56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linePitch="286" w:charSpace="535"/>
        </w:sectPr>
      </w:pP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目    录</w:t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b w:val="0"/>
          <w:szCs w:val="21"/>
        </w:rPr>
        <w:fldChar w:fldCharType="begin"/>
      </w:r>
      <w:r>
        <w:rPr>
          <w:rFonts w:ascii="Times New Roman" w:hAnsi="Times New Roman" w:eastAsia="仿宋" w:cs="Times New Roman"/>
          <w:b w:val="0"/>
          <w:szCs w:val="21"/>
        </w:rPr>
        <w:instrText xml:space="preserve">TOC \o "1-9" \h \u </w:instrText>
      </w:r>
      <w:r>
        <w:rPr>
          <w:rFonts w:ascii="Times New Roman" w:hAnsi="Times New Roman" w:eastAsia="仿宋" w:cs="Times New Roman"/>
          <w:b w:val="0"/>
          <w:szCs w:val="21"/>
        </w:rPr>
        <w:fldChar w:fldCharType="separate"/>
      </w: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_Toc16886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1. 产品简介</w:t>
      </w:r>
      <w:r>
        <w:tab/>
      </w:r>
      <w:r>
        <w:fldChar w:fldCharType="begin"/>
      </w:r>
      <w:r>
        <w:instrText xml:space="preserve"> PAGEREF _Toc16886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_Toc42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2. 组成清单</w:t>
      </w:r>
      <w:r>
        <w:tab/>
      </w:r>
      <w:r>
        <w:fldChar w:fldCharType="begin"/>
      </w:r>
      <w:r>
        <w:instrText xml:space="preserve"> PAGEREF _Toc42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_Toc17702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3. 技术要求</w:t>
      </w:r>
      <w:r>
        <w:tab/>
      </w:r>
      <w:r>
        <w:fldChar w:fldCharType="begin"/>
      </w:r>
      <w:r>
        <w:instrText xml:space="preserve"> PAGEREF _Toc17702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_Toc32410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bCs w:val="0"/>
          <w:szCs w:val="24"/>
        </w:rPr>
        <w:t>3.1 机械加工</w:t>
      </w:r>
      <w:r>
        <w:tab/>
      </w:r>
      <w:r>
        <w:fldChar w:fldCharType="begin"/>
      </w:r>
      <w:r>
        <w:instrText xml:space="preserve"> PAGEREF _Toc32410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_Toc25462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bCs w:val="0"/>
          <w:szCs w:val="24"/>
        </w:rPr>
        <w:t>3.2 接口要求</w:t>
      </w:r>
      <w:r>
        <w:tab/>
      </w:r>
      <w:r>
        <w:fldChar w:fldCharType="begin"/>
      </w:r>
      <w:r>
        <w:instrText xml:space="preserve"> PAGEREF _Toc25462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_Toc16873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4. 其他要求</w:t>
      </w:r>
      <w:r>
        <w:tab/>
      </w:r>
      <w:r>
        <w:fldChar w:fldCharType="begin"/>
      </w:r>
      <w:r>
        <w:instrText xml:space="preserve"> PAGEREF _Toc16873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_Toc32107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5. 不合格控制要求</w:t>
      </w:r>
      <w:r>
        <w:tab/>
      </w:r>
      <w:r>
        <w:fldChar w:fldCharType="begin"/>
      </w:r>
      <w:r>
        <w:instrText xml:space="preserve"> PAGEREF _Toc32107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_Toc3204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6. 技术文件清单控制</w:t>
      </w:r>
      <w:r>
        <w:tab/>
      </w:r>
      <w:r>
        <w:fldChar w:fldCharType="begin"/>
      </w:r>
      <w:r>
        <w:instrText xml:space="preserve"> PAGEREF _Toc3204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_Toc2002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7. 变更控制</w:t>
      </w:r>
      <w:r>
        <w:tab/>
      </w:r>
      <w:r>
        <w:fldChar w:fldCharType="begin"/>
      </w:r>
      <w:r>
        <w:instrText xml:space="preserve"> PAGEREF _Toc2002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_Toc5064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8. 老化管理</w:t>
      </w:r>
      <w:r>
        <w:tab/>
      </w:r>
      <w:r>
        <w:fldChar w:fldCharType="begin"/>
      </w:r>
      <w:r>
        <w:instrText xml:space="preserve"> PAGEREF _Toc5064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_Toc20275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9. 标识和可追溯性管理</w:t>
      </w:r>
      <w:r>
        <w:tab/>
      </w:r>
      <w:r>
        <w:fldChar w:fldCharType="begin"/>
      </w:r>
      <w:r>
        <w:instrText xml:space="preserve"> PAGEREF _Toc20275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_Toc13374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10. 产品防护要求</w:t>
      </w:r>
      <w:r>
        <w:tab/>
      </w:r>
      <w:r>
        <w:fldChar w:fldCharType="begin"/>
      </w:r>
      <w:r>
        <w:instrText xml:space="preserve"> PAGEREF _Toc13374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_Toc24484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4"/>
        </w:rPr>
        <w:t>10.1 生产过程中的防护要求</w:t>
      </w:r>
      <w:r>
        <w:tab/>
      </w:r>
      <w:r>
        <w:fldChar w:fldCharType="begin"/>
      </w:r>
      <w:r>
        <w:instrText xml:space="preserve"> PAGEREF _Toc24484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_Toc11403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4"/>
        </w:rPr>
        <w:t>10.2 包装和运输要求</w:t>
      </w:r>
      <w:r>
        <w:tab/>
      </w:r>
      <w:r>
        <w:fldChar w:fldCharType="begin"/>
      </w:r>
      <w:r>
        <w:instrText xml:space="preserve"> PAGEREF _Toc11403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_Toc31872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11. 主要风险及管控措施</w:t>
      </w:r>
      <w:r>
        <w:tab/>
      </w:r>
      <w:r>
        <w:fldChar w:fldCharType="begin"/>
      </w:r>
      <w:r>
        <w:instrText xml:space="preserve"> PAGEREF _Toc31872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spacing w:line="240" w:lineRule="auto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spacing w:line="240" w:lineRule="auto"/>
        <w:rPr>
          <w:rFonts w:ascii="Times New Roman" w:hAnsi="Times New Roman" w:eastAsia="仿宋" w:cs="Times New Roman"/>
        </w:rPr>
      </w:pPr>
    </w:p>
    <w:p>
      <w:pPr>
        <w:spacing w:line="240" w:lineRule="auto"/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10" w:type="default"/>
          <w:pgSz w:w="11907" w:h="16840"/>
          <w:pgMar w:top="1571" w:right="1191" w:bottom="1247" w:left="1191" w:header="851" w:footer="567" w:gutter="56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docGrid w:linePitch="286" w:charSpace="535"/>
        </w:sectPr>
      </w:pPr>
    </w:p>
    <w:p>
      <w:pPr>
        <w:pStyle w:val="2"/>
        <w:ind w:left="432" w:hanging="432"/>
        <w:rPr>
          <w:sz w:val="28"/>
          <w:szCs w:val="28"/>
        </w:rPr>
      </w:pPr>
      <w:bookmarkStart w:id="0" w:name="_Toc19971"/>
      <w:bookmarkStart w:id="1" w:name="_Toc16886"/>
      <w:r>
        <w:rPr>
          <w:rFonts w:hint="eastAsia"/>
          <w:sz w:val="28"/>
          <w:szCs w:val="28"/>
        </w:rPr>
        <w:t>产品简介</w:t>
      </w:r>
      <w:bookmarkEnd w:id="0"/>
      <w:bookmarkEnd w:id="1"/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信号发生器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（GX-LVDS-10K）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可以输出频率为10kHz的LVDS和TTL信号，主要用于巡检系统调试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外观</w:t>
      </w:r>
      <w:r>
        <w:rPr>
          <w:rFonts w:hint="eastAsia" w:ascii="宋体" w:hAnsi="宋体" w:eastAsia="宋体" w:cs="宋体"/>
          <w:sz w:val="24"/>
          <w:szCs w:val="24"/>
        </w:rPr>
        <w:t>如图1.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所示。</w:t>
      </w:r>
    </w:p>
    <w:p>
      <w:pPr>
        <w:jc w:val="center"/>
        <w:rPr>
          <w:sz w:val="18"/>
          <w:szCs w:val="18"/>
        </w:rPr>
      </w:pPr>
      <w:r>
        <w:drawing>
          <wp:inline distT="0" distB="0" distL="114300" distR="114300">
            <wp:extent cx="5684520" cy="359029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图1.1</w:t>
      </w:r>
      <w:bookmarkStart w:id="2" w:name="_Hlk5566880"/>
      <w:r>
        <w:rPr>
          <w:rFonts w:hint="eastAsia" w:hAnsi="宋体"/>
          <w:szCs w:val="21"/>
        </w:rPr>
        <w:t xml:space="preserve">  </w:t>
      </w:r>
      <w:bookmarkEnd w:id="2"/>
      <w:r>
        <w:rPr>
          <w:rFonts w:hint="eastAsia" w:hAnsi="宋体"/>
          <w:szCs w:val="21"/>
        </w:rPr>
        <w:t>信号发生器外观</w:t>
      </w:r>
    </w:p>
    <w:p>
      <w:pPr>
        <w:jc w:val="both"/>
        <w:rPr>
          <w:rFonts w:hAnsi="宋体"/>
          <w:color w:val="FF0000"/>
          <w:szCs w:val="21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31" w:hanging="431"/>
        <w:textAlignment w:val="auto"/>
        <w:rPr>
          <w:sz w:val="28"/>
          <w:szCs w:val="28"/>
        </w:rPr>
      </w:pPr>
      <w:bookmarkStart w:id="3" w:name="_Toc8556"/>
      <w:bookmarkStart w:id="4" w:name="_Toc7877"/>
      <w:bookmarkStart w:id="5" w:name="_Toc42"/>
      <w:r>
        <w:rPr>
          <w:rFonts w:hint="eastAsia"/>
          <w:sz w:val="28"/>
          <w:szCs w:val="28"/>
        </w:rPr>
        <w:t>组成清单</w:t>
      </w:r>
      <w:bookmarkEnd w:id="3"/>
      <w:bookmarkEnd w:id="4"/>
      <w:bookmarkEnd w:id="5"/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</w:t>
      </w:r>
      <w:r>
        <w:rPr>
          <w:rFonts w:hint="eastAsia" w:ascii="宋体" w:hAnsi="宋体" w:eastAsia="宋体" w:cs="宋体"/>
          <w:sz w:val="24"/>
          <w:szCs w:val="24"/>
        </w:rPr>
        <w:t>信号发生器所含子件清单见表2.1。</w:t>
      </w:r>
    </w:p>
    <w:p>
      <w:pPr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表2.1  信号发生器子件清单</w:t>
      </w:r>
    </w:p>
    <w:tbl>
      <w:tblPr>
        <w:tblStyle w:val="36"/>
        <w:tblW w:w="49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959"/>
        <w:gridCol w:w="1184"/>
        <w:gridCol w:w="1463"/>
        <w:gridCol w:w="916"/>
        <w:gridCol w:w="701"/>
        <w:gridCol w:w="740"/>
        <w:gridCol w:w="15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6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一级子件</w:t>
            </w: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79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49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1</w:t>
            </w:r>
          </w:p>
        </w:tc>
        <w:tc>
          <w:tcPr>
            <w:tcW w:w="106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信号发生器</w:t>
            </w:r>
          </w:p>
        </w:tc>
        <w:tc>
          <w:tcPr>
            <w:tcW w:w="645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定制</w:t>
            </w:r>
          </w:p>
        </w:tc>
        <w:tc>
          <w:tcPr>
            <w:tcW w:w="79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GX-LVDS-10K</w:t>
            </w:r>
          </w:p>
        </w:tc>
        <w:tc>
          <w:tcPr>
            <w:tcW w:w="4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8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</w:t>
      </w:r>
      <w:r>
        <w:rPr>
          <w:rFonts w:hint="eastAsia" w:ascii="宋体" w:hAnsi="宋体" w:eastAsia="宋体" w:cs="宋体"/>
          <w:sz w:val="24"/>
          <w:szCs w:val="24"/>
        </w:rPr>
        <w:t>信号发生器所含配件清单见表2.2。</w:t>
      </w:r>
    </w:p>
    <w:p>
      <w:pPr>
        <w:jc w:val="center"/>
      </w:pPr>
      <w:r>
        <w:rPr>
          <w:rFonts w:hint="eastAsia"/>
        </w:rPr>
        <w:t>表2.2  信号发生器配件清单</w:t>
      </w:r>
    </w:p>
    <w:tbl>
      <w:tblPr>
        <w:tblStyle w:val="3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3"/>
        <w:gridCol w:w="2172"/>
        <w:gridCol w:w="899"/>
        <w:gridCol w:w="1465"/>
        <w:gridCol w:w="863"/>
        <w:gridCol w:w="731"/>
        <w:gridCol w:w="75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部件名称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bookmarkStart w:id="6" w:name="_Toc18598"/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  <w:bookmarkEnd w:id="6"/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bookmarkStart w:id="7" w:name="_Toc22109"/>
            <w:bookmarkStart w:id="8" w:name="_Toc10175"/>
            <w:r>
              <w:rPr>
                <w:rFonts w:hint="eastAsia"/>
                <w:szCs w:val="21"/>
              </w:rPr>
              <w:t>单位</w:t>
            </w:r>
            <w:bookmarkEnd w:id="7"/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电缆插头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威浦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SF1210/P4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bookmarkStart w:id="9" w:name="_Toc15173"/>
            <w:r>
              <w:rPr>
                <w:rFonts w:hint="eastAsia"/>
                <w:szCs w:val="21"/>
                <w:lang w:val="en-US" w:eastAsia="zh-CN"/>
              </w:rPr>
              <w:t>套</w:t>
            </w:r>
          </w:p>
          <w:bookmarkEnd w:id="9"/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4芯插头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bookmarkStart w:id="10" w:name="_Toc13872"/>
            <w:r>
              <w:rPr>
                <w:rFonts w:hint="eastAsia"/>
                <w:szCs w:val="21"/>
              </w:rPr>
              <w:t>2</w:t>
            </w:r>
            <w:bookmarkEnd w:id="10"/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电缆插头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威浦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SF1210/P6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bookmarkStart w:id="11" w:name="_Toc20347"/>
            <w:r>
              <w:rPr>
                <w:rFonts w:hint="eastAsia"/>
                <w:szCs w:val="21"/>
                <w:lang w:val="en-US" w:eastAsia="zh-CN"/>
              </w:rPr>
              <w:t>/</w:t>
            </w:r>
          </w:p>
          <w:bookmarkEnd w:id="11"/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套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6芯插头</w:t>
            </w:r>
          </w:p>
        </w:tc>
      </w:tr>
    </w:tbl>
    <w:p>
      <w:pPr>
        <w:jc w:val="center"/>
      </w:pPr>
    </w:p>
    <w:p>
      <w:pPr>
        <w:pStyle w:val="2"/>
        <w:ind w:left="432" w:hanging="432"/>
        <w:rPr>
          <w:sz w:val="28"/>
          <w:szCs w:val="28"/>
        </w:rPr>
      </w:pPr>
      <w:bookmarkStart w:id="12" w:name="_Toc3223"/>
      <w:bookmarkStart w:id="13" w:name="_Toc27067"/>
      <w:bookmarkStart w:id="14" w:name="_Toc17702"/>
      <w:r>
        <w:rPr>
          <w:rFonts w:hint="eastAsia"/>
          <w:sz w:val="28"/>
          <w:szCs w:val="28"/>
        </w:rPr>
        <w:t>技术要求</w:t>
      </w:r>
      <w:bookmarkEnd w:id="12"/>
      <w:bookmarkEnd w:id="13"/>
      <w:bookmarkEnd w:id="14"/>
    </w:p>
    <w:p>
      <w:pPr>
        <w:pStyle w:val="3"/>
        <w:ind w:left="575" w:hanging="575"/>
        <w:rPr>
          <w:b/>
          <w:bCs w:val="0"/>
          <w:szCs w:val="24"/>
        </w:rPr>
      </w:pPr>
      <w:bookmarkStart w:id="15" w:name="_Toc29776"/>
      <w:bookmarkStart w:id="16" w:name="_Toc32410"/>
      <w:r>
        <w:rPr>
          <w:rFonts w:hint="eastAsia"/>
          <w:b/>
          <w:bCs w:val="0"/>
          <w:szCs w:val="24"/>
        </w:rPr>
        <w:t>机械加工</w:t>
      </w:r>
      <w:bookmarkEnd w:id="15"/>
      <w:bookmarkEnd w:id="16"/>
    </w:p>
    <w:p>
      <w:pPr>
        <w:ind w:firstLine="482" w:firstLineChars="200"/>
        <w:rPr>
          <w:b/>
          <w:bCs/>
          <w:sz w:val="24"/>
          <w:szCs w:val="24"/>
        </w:rPr>
      </w:pPr>
      <w:bookmarkStart w:id="17" w:name="_Toc14740"/>
      <w:bookmarkStart w:id="18" w:name="_Toc29994"/>
      <w:r>
        <w:rPr>
          <w:rFonts w:hint="eastAsia"/>
          <w:b/>
          <w:bCs/>
          <w:sz w:val="24"/>
          <w:szCs w:val="24"/>
        </w:rPr>
        <w:t>外形尺寸</w:t>
      </w:r>
      <w:bookmarkEnd w:id="17"/>
      <w:bookmarkEnd w:id="18"/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长×宽×高：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mm×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150</w:t>
      </w:r>
      <w:r>
        <w:rPr>
          <w:rFonts w:hint="eastAsia" w:ascii="宋体" w:hAnsi="宋体" w:eastAsia="宋体" w:cs="宋体"/>
          <w:sz w:val="24"/>
          <w:szCs w:val="24"/>
        </w:rPr>
        <w:t>mm×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mm。</w:t>
      </w:r>
    </w:p>
    <w:p>
      <w:pPr>
        <w:ind w:firstLine="482" w:firstLineChars="200"/>
        <w:rPr>
          <w:b/>
          <w:bCs/>
          <w:sz w:val="24"/>
          <w:szCs w:val="24"/>
        </w:rPr>
      </w:pPr>
      <w:bookmarkStart w:id="19" w:name="_Toc28543"/>
      <w:bookmarkStart w:id="20" w:name="_Toc13977"/>
      <w:r>
        <w:rPr>
          <w:rFonts w:hint="eastAsia"/>
          <w:b/>
          <w:bCs/>
          <w:sz w:val="24"/>
          <w:szCs w:val="24"/>
        </w:rPr>
        <w:t>开孔布局</w:t>
      </w:r>
      <w:bookmarkEnd w:id="19"/>
      <w:bookmarkEnd w:id="20"/>
    </w:p>
    <w:p>
      <w:pPr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2745105" cy="2891155"/>
            <wp:effectExtent l="0" t="0" r="13335" b="4445"/>
            <wp:docPr id="2" name="图片 2" descr="C:\Users\Administrator\AppData\Local\Temp\15598121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Local\Temp\1559812144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 xml:space="preserve">图3.1 </w:t>
      </w:r>
      <w:r>
        <w:rPr>
          <w:rFonts w:hint="eastAsia" w:hAnsi="宋体"/>
          <w:szCs w:val="21"/>
        </w:rPr>
        <w:t>信号发生器</w:t>
      </w:r>
      <w:r>
        <w:rPr>
          <w:rFonts w:hint="eastAsia" w:hAnsi="宋体"/>
          <w:szCs w:val="21"/>
          <w:lang w:val="en-US" w:eastAsia="zh-CN"/>
        </w:rPr>
        <w:t>开孔布局图</w:t>
      </w:r>
    </w:p>
    <w:p>
      <w:pPr>
        <w:ind w:firstLine="482" w:firstLineChars="200"/>
        <w:rPr>
          <w:b/>
          <w:bCs/>
          <w:sz w:val="24"/>
          <w:szCs w:val="24"/>
        </w:rPr>
      </w:pPr>
      <w:bookmarkStart w:id="21" w:name="_Toc23304"/>
      <w:r>
        <w:rPr>
          <w:rFonts w:hint="eastAsia"/>
          <w:b/>
          <w:bCs/>
          <w:sz w:val="24"/>
          <w:szCs w:val="24"/>
        </w:rPr>
        <w:t>加工技术要求</w:t>
      </w:r>
      <w:bookmarkEnd w:id="21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信号发生器技术规格参数见表3.1。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表3.1 信号发生器技术规格参数</w:t>
      </w:r>
    </w:p>
    <w:tbl>
      <w:tblPr>
        <w:tblStyle w:val="37"/>
        <w:tblpPr w:leftFromText="181" w:rightFromText="181" w:vertAnchor="text" w:horzAnchor="margin" w:tblpY="1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744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 w:val="21"/>
                <w:szCs w:val="21"/>
              </w:rPr>
              <w:t>LVDS</w:t>
            </w: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>信号发生器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>机械参数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200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mm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×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1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50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mm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×5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0mm（长×宽×高）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1.0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>电气参数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2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20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V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A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输出信号频率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10kHz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输出信号</w:t>
            </w:r>
          </w:p>
        </w:tc>
        <w:tc>
          <w:tcPr>
            <w:tcW w:w="5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LVDS、TTL</w:t>
            </w:r>
          </w:p>
        </w:tc>
      </w:tr>
    </w:tbl>
    <w:p>
      <w:p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3"/>
        <w:ind w:left="575" w:hanging="575"/>
        <w:rPr>
          <w:b/>
          <w:bCs w:val="0"/>
          <w:szCs w:val="24"/>
        </w:rPr>
      </w:pPr>
      <w:bookmarkStart w:id="22" w:name="_Toc27429"/>
      <w:bookmarkStart w:id="23" w:name="_Toc20460"/>
      <w:bookmarkStart w:id="24" w:name="_Toc25462"/>
      <w:r>
        <w:rPr>
          <w:rFonts w:hint="eastAsia"/>
          <w:b/>
          <w:bCs w:val="0"/>
          <w:szCs w:val="24"/>
        </w:rPr>
        <w:t>接口要求</w:t>
      </w:r>
      <w:bookmarkEnd w:id="22"/>
      <w:bookmarkEnd w:id="23"/>
      <w:bookmarkEnd w:id="24"/>
    </w:p>
    <w:p>
      <w:pPr>
        <w:jc w:val="center"/>
      </w:pPr>
      <w:r>
        <w:drawing>
          <wp:inline distT="0" distB="0" distL="0" distR="0">
            <wp:extent cx="5029200" cy="1448435"/>
            <wp:effectExtent l="0" t="0" r="0" b="14605"/>
            <wp:docPr id="4" name="图片 4" descr="C:\Users\Administrator\AppData\Local\Temp\15598139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1559813933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5585" cy="145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Chars="-67" w:hanging="140" w:hangingChars="67"/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图3.</w:t>
      </w:r>
      <w:r>
        <w:rPr>
          <w:rFonts w:hint="eastAsia" w:hAnsi="宋体"/>
          <w:szCs w:val="21"/>
          <w:lang w:val="en-US" w:eastAsia="zh-CN"/>
        </w:rPr>
        <w:t>2</w:t>
      </w:r>
      <w:r>
        <w:rPr>
          <w:rFonts w:hint="eastAsia" w:hAnsi="宋体"/>
          <w:szCs w:val="21"/>
        </w:rPr>
        <w:t xml:space="preserve">  信号发生器接口示意图</w:t>
      </w:r>
    </w:p>
    <w:p>
      <w:pPr>
        <w:rPr>
          <w:rFonts w:hAnsi="宋体"/>
          <w:szCs w:val="21"/>
        </w:rPr>
      </w:pPr>
    </w:p>
    <w:p>
      <w:pPr>
        <w:jc w:val="center"/>
        <w:rPr>
          <w:rFonts w:hint="default" w:hAnsi="宋体" w:eastAsiaTheme="minorEastAsia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表3.2 信号发生器接口定义</w:t>
      </w:r>
    </w:p>
    <w:tbl>
      <w:tblPr>
        <w:tblStyle w:val="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368"/>
        <w:gridCol w:w="2198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>信号发生器接口定义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kern w:val="2"/>
                <w:szCs w:val="22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接口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序号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定义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LVDS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输出信号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GND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2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A1+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A1-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4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GND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5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A2+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6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A2-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TTL输出信号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GND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2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SIGNAL1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GND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4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SIGNAL2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2"/>
                <w:szCs w:val="22"/>
                <w:vertAlign w:val="baseline"/>
              </w:rPr>
            </w:pPr>
          </w:p>
        </w:tc>
      </w:tr>
    </w:tbl>
    <w:p>
      <w:pPr>
        <w:rPr>
          <w:rFonts w:hAnsi="宋体"/>
          <w:szCs w:val="21"/>
        </w:rPr>
      </w:pPr>
    </w:p>
    <w:p>
      <w:pPr>
        <w:pStyle w:val="2"/>
        <w:ind w:left="432" w:hanging="432"/>
        <w:rPr>
          <w:sz w:val="28"/>
          <w:szCs w:val="28"/>
        </w:rPr>
      </w:pPr>
      <w:bookmarkStart w:id="25" w:name="_Toc25724"/>
      <w:bookmarkStart w:id="26" w:name="_Toc16873"/>
      <w:r>
        <w:rPr>
          <w:rFonts w:hint="eastAsia"/>
          <w:sz w:val="28"/>
          <w:szCs w:val="28"/>
        </w:rPr>
        <w:t>其他要求</w:t>
      </w:r>
      <w:bookmarkEnd w:id="25"/>
      <w:bookmarkEnd w:id="26"/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1）运行温度：0℃～+50℃；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2）存储温度：-40℃～+85℃；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3）产品及其附件必须带有产品合格证书，并带产品检验及测试报告；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4）打开外包装前请确认产品包装完好，如有破损请联系物流相关人员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pStyle w:val="2"/>
        <w:ind w:left="432" w:hanging="432"/>
        <w:rPr>
          <w:sz w:val="28"/>
          <w:szCs w:val="28"/>
        </w:rPr>
      </w:pPr>
      <w:bookmarkStart w:id="27" w:name="_Toc19502"/>
      <w:bookmarkStart w:id="28" w:name="_Toc32107"/>
      <w:r>
        <w:rPr>
          <w:rFonts w:hint="eastAsia"/>
          <w:sz w:val="28"/>
          <w:szCs w:val="28"/>
        </w:rPr>
        <w:t>不合格控制要求</w:t>
      </w:r>
      <w:bookmarkEnd w:id="27"/>
      <w:bookmarkEnd w:id="28"/>
    </w:p>
    <w:p>
      <w:pPr>
        <w:ind w:firstLine="480" w:firstLineChars="200"/>
        <w:rPr>
          <w:bCs/>
          <w:sz w:val="24"/>
          <w:szCs w:val="24"/>
        </w:rPr>
      </w:pPr>
      <w:bookmarkStart w:id="29" w:name="_Toc7307"/>
      <w:r>
        <w:rPr>
          <w:rFonts w:hint="eastAsia" w:ascii="宋体" w:cs="宋体"/>
          <w:bCs/>
          <w:sz w:val="24"/>
          <w:szCs w:val="24"/>
        </w:rPr>
        <w:t>供应商不合格产品应按照《不合格品控制程序》进行控制。</w:t>
      </w:r>
    </w:p>
    <w:p>
      <w:pPr>
        <w:pStyle w:val="2"/>
        <w:ind w:left="432" w:hanging="432"/>
        <w:rPr>
          <w:sz w:val="28"/>
          <w:szCs w:val="28"/>
        </w:rPr>
      </w:pPr>
      <w:bookmarkStart w:id="30" w:name="_Toc3204"/>
      <w:r>
        <w:rPr>
          <w:rFonts w:hint="eastAsia"/>
          <w:sz w:val="28"/>
          <w:szCs w:val="28"/>
        </w:rPr>
        <w:t>技术文件清单控制</w:t>
      </w:r>
      <w:bookmarkEnd w:id="29"/>
      <w:bookmarkEnd w:id="30"/>
    </w:p>
    <w:p>
      <w:pPr>
        <w:ind w:firstLine="480" w:firstLineChars="200"/>
        <w:rPr>
          <w:rFonts w:ascii="宋体" w:cs="宋体"/>
          <w:bCs/>
          <w:sz w:val="24"/>
          <w:szCs w:val="24"/>
        </w:rPr>
      </w:pPr>
      <w:r>
        <w:rPr>
          <w:rFonts w:hint="eastAsia" w:ascii="宋体" w:cs="宋体"/>
          <w:bCs/>
          <w:sz w:val="24"/>
          <w:szCs w:val="24"/>
        </w:rPr>
        <w:t>供应商应提供必要的技术资料，技术资料可包括图纸、说明书等。</w:t>
      </w:r>
    </w:p>
    <w:p>
      <w:pPr>
        <w:pStyle w:val="2"/>
        <w:ind w:left="432" w:hanging="432"/>
        <w:rPr>
          <w:sz w:val="28"/>
          <w:szCs w:val="28"/>
        </w:rPr>
      </w:pPr>
      <w:bookmarkStart w:id="31" w:name="_Toc9513"/>
      <w:bookmarkStart w:id="32" w:name="_Toc2002"/>
      <w:r>
        <w:rPr>
          <w:rFonts w:hint="eastAsia"/>
          <w:sz w:val="28"/>
          <w:szCs w:val="28"/>
        </w:rPr>
        <w:t>变更控制</w:t>
      </w:r>
      <w:bookmarkEnd w:id="31"/>
      <w:bookmarkEnd w:id="32"/>
    </w:p>
    <w:p>
      <w:pPr>
        <w:ind w:firstLine="480" w:firstLineChars="200"/>
        <w:rPr>
          <w:rFonts w:ascii="Arial" w:hAnsi="Arial" w:eastAsia="宋体" w:cs="Times New Roman"/>
          <w:b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如产品发生变更，供应商应提前至少1个月通知采购部和相关部门。</w:t>
      </w:r>
    </w:p>
    <w:p>
      <w:pPr>
        <w:pStyle w:val="2"/>
        <w:ind w:left="432" w:hanging="432"/>
        <w:rPr>
          <w:sz w:val="28"/>
          <w:szCs w:val="28"/>
        </w:rPr>
      </w:pPr>
      <w:bookmarkStart w:id="33" w:name="_Toc7624"/>
      <w:bookmarkStart w:id="34" w:name="_Toc5064"/>
      <w:r>
        <w:rPr>
          <w:rFonts w:hint="eastAsia"/>
          <w:sz w:val="28"/>
          <w:szCs w:val="28"/>
        </w:rPr>
        <w:t>老化管理</w:t>
      </w:r>
      <w:bookmarkEnd w:id="33"/>
      <w:bookmarkEnd w:id="34"/>
    </w:p>
    <w:p>
      <w:pPr>
        <w:ind w:firstLine="480" w:firstLineChars="20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Arial" w:hAnsi="Arial" w:eastAsia="宋体" w:cs="Times New Roman"/>
          <w:bCs/>
          <w:kern w:val="2"/>
          <w:sz w:val="24"/>
          <w:szCs w:val="24"/>
        </w:rPr>
        <w:t>质保期内及时</w:t>
      </w:r>
      <w:r>
        <w:rPr>
          <w:rFonts w:hint="eastAsia" w:ascii="宋体" w:cs="宋体"/>
          <w:sz w:val="24"/>
          <w:szCs w:val="24"/>
        </w:rPr>
        <w:t>提供</w:t>
      </w:r>
      <w:r>
        <w:rPr>
          <w:rFonts w:hint="eastAsia" w:ascii="Arial" w:hAnsi="Arial" w:eastAsia="宋体" w:cs="Times New Roman"/>
          <w:bCs/>
          <w:kern w:val="2"/>
          <w:sz w:val="24"/>
          <w:szCs w:val="24"/>
        </w:rPr>
        <w:t>产品及备件的措施</w:t>
      </w:r>
      <w:r>
        <w:rPr>
          <w:rFonts w:hint="eastAsia" w:ascii="Arial" w:hAnsi="Arial" w:cs="Times New Roman"/>
          <w:bCs/>
          <w:kern w:val="2"/>
          <w:sz w:val="24"/>
          <w:szCs w:val="24"/>
        </w:rPr>
        <w:t>（产品升级后，功能可兼容老版产品）。</w:t>
      </w:r>
    </w:p>
    <w:p>
      <w:pPr>
        <w:ind w:firstLine="480" w:firstLineChars="200"/>
        <w:rPr>
          <w:rFonts w:ascii="Arial" w:hAnsi="Arial" w:eastAsia="宋体" w:cs="Times New Roman"/>
          <w:bCs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如产品停止供应，供应商应提前至少6个月通知采购部。</w:t>
      </w:r>
    </w:p>
    <w:p>
      <w:pPr>
        <w:pStyle w:val="2"/>
        <w:ind w:left="432" w:hanging="432"/>
        <w:rPr>
          <w:sz w:val="28"/>
          <w:szCs w:val="28"/>
        </w:rPr>
      </w:pPr>
      <w:bookmarkStart w:id="35" w:name="_Toc27701"/>
      <w:bookmarkStart w:id="36" w:name="_Toc20275"/>
      <w:r>
        <w:rPr>
          <w:rFonts w:hint="eastAsia"/>
          <w:sz w:val="28"/>
          <w:szCs w:val="28"/>
        </w:rPr>
        <w:t>标识和可追溯性管理</w:t>
      </w:r>
      <w:bookmarkEnd w:id="35"/>
      <w:bookmarkEnd w:id="36"/>
    </w:p>
    <w:p>
      <w:pPr>
        <w:ind w:firstLine="480" w:firstLineChars="200"/>
        <w:rPr>
          <w:rFonts w:ascii="Arial" w:hAnsi="Arial" w:eastAsia="宋体" w:cs="Times New Roman"/>
          <w:b/>
          <w:kern w:val="2"/>
          <w:sz w:val="28"/>
          <w:szCs w:val="28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宋体" w:cs="宋体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>
      <w:pPr>
        <w:pStyle w:val="2"/>
        <w:ind w:left="432" w:hanging="432"/>
        <w:rPr>
          <w:sz w:val="28"/>
          <w:szCs w:val="28"/>
        </w:rPr>
      </w:pPr>
      <w:bookmarkStart w:id="37" w:name="_Toc18695"/>
      <w:bookmarkStart w:id="38" w:name="_Toc13374"/>
      <w:r>
        <w:rPr>
          <w:rFonts w:hint="eastAsia"/>
          <w:sz w:val="28"/>
          <w:szCs w:val="28"/>
        </w:rPr>
        <w:t>产品防护要求</w:t>
      </w:r>
      <w:bookmarkEnd w:id="37"/>
      <w:bookmarkEnd w:id="38"/>
    </w:p>
    <w:p>
      <w:pPr>
        <w:pStyle w:val="3"/>
        <w:rPr>
          <w:szCs w:val="24"/>
        </w:rPr>
      </w:pPr>
      <w:bookmarkStart w:id="39" w:name="_Toc18293"/>
      <w:bookmarkStart w:id="40" w:name="_Toc24484"/>
      <w:r>
        <w:rPr>
          <w:rFonts w:hint="eastAsia"/>
          <w:szCs w:val="24"/>
        </w:rPr>
        <w:t>生产过程中的防护要求</w:t>
      </w:r>
      <w:bookmarkEnd w:id="39"/>
      <w:bookmarkEnd w:id="40"/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宋体" w:cs="宋体"/>
          <w:sz w:val="24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>
      <w:pPr>
        <w:pStyle w:val="3"/>
        <w:rPr>
          <w:szCs w:val="24"/>
        </w:rPr>
      </w:pPr>
      <w:bookmarkStart w:id="41" w:name="_Toc1521"/>
      <w:bookmarkStart w:id="42" w:name="_Toc11403"/>
      <w:r>
        <w:rPr>
          <w:rFonts w:hint="eastAsia"/>
          <w:szCs w:val="24"/>
        </w:rPr>
        <w:t>包装和运输要求</w:t>
      </w:r>
      <w:bookmarkEnd w:id="41"/>
      <w:bookmarkEnd w:id="42"/>
    </w:p>
    <w:p>
      <w:pPr>
        <w:ind w:firstLine="480" w:firstLineChars="200"/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供应商提供的</w:t>
      </w:r>
      <w:r>
        <w:rPr>
          <w:rFonts w:hint="eastAsia" w:ascii="宋体" w:cs="宋体"/>
          <w:sz w:val="24"/>
          <w:szCs w:val="24"/>
        </w:rPr>
        <w:t>产品应有包装箱，箱内应有防震、防潮措施，以保证产品不受损坏。</w:t>
      </w:r>
    </w:p>
    <w:p>
      <w:pPr>
        <w:pStyle w:val="2"/>
        <w:ind w:left="432" w:hanging="432"/>
        <w:rPr>
          <w:sz w:val="28"/>
          <w:szCs w:val="28"/>
        </w:rPr>
      </w:pPr>
      <w:bookmarkStart w:id="43" w:name="_Toc29659"/>
      <w:bookmarkStart w:id="44" w:name="_Toc31872"/>
      <w:r>
        <w:rPr>
          <w:rFonts w:hint="eastAsia"/>
          <w:sz w:val="28"/>
          <w:szCs w:val="28"/>
        </w:rPr>
        <w:t>主要风险及管控措施</w:t>
      </w:r>
      <w:bookmarkEnd w:id="43"/>
      <w:bookmarkEnd w:id="44"/>
    </w:p>
    <w:p>
      <w:pPr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宋体" w:cs="宋体"/>
          <w:sz w:val="24"/>
          <w:szCs w:val="24"/>
        </w:rPr>
        <w:t>可附PFMEA要求。</w:t>
      </w:r>
    </w:p>
    <w:sectPr>
      <w:footerReference r:id="rId11" w:type="default"/>
      <w:pgSz w:w="11907" w:h="16840"/>
      <w:pgMar w:top="1571" w:right="1191" w:bottom="1247" w:left="1191" w:header="851" w:footer="567" w:gutter="567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framePr w:wrap="around" w:vAnchor="text" w:hAnchor="margin" w:xAlign="right" w:y="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end"/>
    </w:r>
  </w:p>
  <w:p>
    <w:pPr>
      <w:pStyle w:val="2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KPF0n9ABAACm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wtMAjM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4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40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 xml:space="preserve"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21"/>
                            </w:rPr>
                            <w:t>10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第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4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40"/>
                        <w:sz w:val="18"/>
                        <w:szCs w:val="18"/>
                      </w:rPr>
                      <w:t>9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 共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 xml:space="preserve"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sz w:val="18"/>
                        <w:szCs w:val="21"/>
                      </w:rPr>
                      <w:t>10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right" w:pos="8946"/>
        <w:tab w:val="clear" w:pos="8640"/>
      </w:tabs>
      <w:wordWrap w:val="0"/>
      <w:spacing w:line="240" w:lineRule="auto"/>
      <w:ind w:right="12" w:firstLine="1094" w:firstLineChars="608"/>
      <w:jc w:val="right"/>
      <w:rPr>
        <w:rFonts w:ascii="仿宋" w:hAnsi="仿宋" w:eastAsia="仿宋" w:cs="仿宋"/>
        <w:sz w:val="18"/>
        <w:szCs w:val="18"/>
      </w:rPr>
    </w:pPr>
    <w:r>
      <w:rPr>
        <w:rFonts w:hint="eastAsia" w:ascii="仿宋_GB2312" w:eastAsia="仿宋_GB2312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24"/>
      <w:pBdr>
        <w:bottom w:val="single" w:color="auto" w:sz="4" w:space="0"/>
      </w:pBdr>
      <w:tabs>
        <w:tab w:val="right" w:pos="8946"/>
        <w:tab w:val="clear" w:pos="8640"/>
      </w:tabs>
      <w:wordWrap w:val="0"/>
      <w:spacing w:line="240" w:lineRule="auto"/>
      <w:ind w:right="10" w:rightChars="5" w:firstLine="1094" w:firstLineChars="608"/>
      <w:jc w:val="right"/>
      <w:rPr>
        <w:rFonts w:ascii="宋体" w:hAnsi="宋体" w:eastAsia="仿宋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73CB4"/>
    <w:multiLevelType w:val="multilevel"/>
    <w:tmpl w:val="71273CB4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hint="eastAsia" w:eastAsia="宋体"/>
        <w:b w:val="0"/>
        <w:i w:val="0"/>
        <w:sz w:val="21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80"/>
        </w:tabs>
        <w:ind w:left="0" w:firstLine="0"/>
      </w:pPr>
      <w:rPr>
        <w:rFonts w:hint="eastAsia" w:ascii="宋体" w:hAnsi="宋体" w:eastAsia="宋体"/>
        <w:b w:val="0"/>
        <w:i w:val="0"/>
        <w:sz w:val="21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 w:cryptProviderType="rsaFull" w:cryptAlgorithmClass="hash" w:cryptAlgorithmType="typeAny" w:cryptAlgorithmSid="4" w:cryptSpinCount="0" w:hash="munFHQQYcXF3fxStzUdEE7Hwokk=" w:salt="YVRtD3uKJjY9XZ86zOgsPw==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8"/>
    <w:rsid w:val="00000562"/>
    <w:rsid w:val="00001E8E"/>
    <w:rsid w:val="000048B3"/>
    <w:rsid w:val="0002167D"/>
    <w:rsid w:val="00024067"/>
    <w:rsid w:val="00027A48"/>
    <w:rsid w:val="000319C4"/>
    <w:rsid w:val="00033292"/>
    <w:rsid w:val="00035926"/>
    <w:rsid w:val="00036DDD"/>
    <w:rsid w:val="00041EBC"/>
    <w:rsid w:val="00043AEB"/>
    <w:rsid w:val="00051A70"/>
    <w:rsid w:val="00051E55"/>
    <w:rsid w:val="00053E0E"/>
    <w:rsid w:val="00071A20"/>
    <w:rsid w:val="0007216C"/>
    <w:rsid w:val="000729A3"/>
    <w:rsid w:val="00082D57"/>
    <w:rsid w:val="000A0367"/>
    <w:rsid w:val="000A07E6"/>
    <w:rsid w:val="000A1C76"/>
    <w:rsid w:val="000A2D01"/>
    <w:rsid w:val="000A3A32"/>
    <w:rsid w:val="000B4723"/>
    <w:rsid w:val="000C22F5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7C91"/>
    <w:rsid w:val="00182964"/>
    <w:rsid w:val="00184F6F"/>
    <w:rsid w:val="00185E12"/>
    <w:rsid w:val="001864C4"/>
    <w:rsid w:val="00187312"/>
    <w:rsid w:val="001909F6"/>
    <w:rsid w:val="001950A3"/>
    <w:rsid w:val="00195308"/>
    <w:rsid w:val="00195866"/>
    <w:rsid w:val="00196A3E"/>
    <w:rsid w:val="00197175"/>
    <w:rsid w:val="001A0D29"/>
    <w:rsid w:val="001A1EDA"/>
    <w:rsid w:val="001A2D3D"/>
    <w:rsid w:val="001A62C3"/>
    <w:rsid w:val="001B40D0"/>
    <w:rsid w:val="001B4F5A"/>
    <w:rsid w:val="001C0516"/>
    <w:rsid w:val="001C2FF0"/>
    <w:rsid w:val="001D3212"/>
    <w:rsid w:val="001D5E98"/>
    <w:rsid w:val="001D6B79"/>
    <w:rsid w:val="001E0E46"/>
    <w:rsid w:val="001E43A1"/>
    <w:rsid w:val="001E52D7"/>
    <w:rsid w:val="001E5D5C"/>
    <w:rsid w:val="001F1F87"/>
    <w:rsid w:val="001F247B"/>
    <w:rsid w:val="001F2E8D"/>
    <w:rsid w:val="002024D0"/>
    <w:rsid w:val="00206A04"/>
    <w:rsid w:val="0021082B"/>
    <w:rsid w:val="002122F9"/>
    <w:rsid w:val="002128C0"/>
    <w:rsid w:val="002130CC"/>
    <w:rsid w:val="002154A3"/>
    <w:rsid w:val="00224931"/>
    <w:rsid w:val="00235EEF"/>
    <w:rsid w:val="00236435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A5215"/>
    <w:rsid w:val="002B35F7"/>
    <w:rsid w:val="002B3DB6"/>
    <w:rsid w:val="002C22AD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5526"/>
    <w:rsid w:val="002E6075"/>
    <w:rsid w:val="002E6E80"/>
    <w:rsid w:val="002E7B2A"/>
    <w:rsid w:val="00300F9A"/>
    <w:rsid w:val="003165C5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6452"/>
    <w:rsid w:val="00377AAF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650A"/>
    <w:rsid w:val="003D1BB4"/>
    <w:rsid w:val="003D3336"/>
    <w:rsid w:val="003E2972"/>
    <w:rsid w:val="003E3C92"/>
    <w:rsid w:val="003F0D83"/>
    <w:rsid w:val="003F119D"/>
    <w:rsid w:val="003F3B4D"/>
    <w:rsid w:val="003F7C77"/>
    <w:rsid w:val="0041454A"/>
    <w:rsid w:val="00416F85"/>
    <w:rsid w:val="00417064"/>
    <w:rsid w:val="00421AAA"/>
    <w:rsid w:val="00434670"/>
    <w:rsid w:val="004358DB"/>
    <w:rsid w:val="004403D3"/>
    <w:rsid w:val="004432AA"/>
    <w:rsid w:val="004438D1"/>
    <w:rsid w:val="004502E2"/>
    <w:rsid w:val="00452540"/>
    <w:rsid w:val="00455444"/>
    <w:rsid w:val="004678E7"/>
    <w:rsid w:val="00473B82"/>
    <w:rsid w:val="00475BE4"/>
    <w:rsid w:val="004818F4"/>
    <w:rsid w:val="00482933"/>
    <w:rsid w:val="0048429F"/>
    <w:rsid w:val="0048538E"/>
    <w:rsid w:val="00485AAD"/>
    <w:rsid w:val="00486DC8"/>
    <w:rsid w:val="00486FCC"/>
    <w:rsid w:val="00487F32"/>
    <w:rsid w:val="004A2AC1"/>
    <w:rsid w:val="004B6418"/>
    <w:rsid w:val="004B6F37"/>
    <w:rsid w:val="004B7A78"/>
    <w:rsid w:val="004C0CE1"/>
    <w:rsid w:val="004C0DC0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F1B44"/>
    <w:rsid w:val="004F5327"/>
    <w:rsid w:val="005037F0"/>
    <w:rsid w:val="00506FAB"/>
    <w:rsid w:val="00521C44"/>
    <w:rsid w:val="00523CE8"/>
    <w:rsid w:val="0052498A"/>
    <w:rsid w:val="00524B83"/>
    <w:rsid w:val="005407CE"/>
    <w:rsid w:val="00540AF7"/>
    <w:rsid w:val="00540E3A"/>
    <w:rsid w:val="0054217B"/>
    <w:rsid w:val="00546620"/>
    <w:rsid w:val="00555ADA"/>
    <w:rsid w:val="00565428"/>
    <w:rsid w:val="00567C8A"/>
    <w:rsid w:val="0057569A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E5623"/>
    <w:rsid w:val="005F2AC6"/>
    <w:rsid w:val="0060106E"/>
    <w:rsid w:val="00603B4B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875E6"/>
    <w:rsid w:val="00694303"/>
    <w:rsid w:val="006A7BE9"/>
    <w:rsid w:val="006B045C"/>
    <w:rsid w:val="006B2045"/>
    <w:rsid w:val="006B3D5B"/>
    <w:rsid w:val="006C1A6B"/>
    <w:rsid w:val="006C2C48"/>
    <w:rsid w:val="006C38BC"/>
    <w:rsid w:val="006D21A3"/>
    <w:rsid w:val="006D34CB"/>
    <w:rsid w:val="006D79E5"/>
    <w:rsid w:val="006E0320"/>
    <w:rsid w:val="006E17F3"/>
    <w:rsid w:val="006E3826"/>
    <w:rsid w:val="006E5641"/>
    <w:rsid w:val="006E5A56"/>
    <w:rsid w:val="006E6B3E"/>
    <w:rsid w:val="006F2EF6"/>
    <w:rsid w:val="00706C0E"/>
    <w:rsid w:val="00707257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845E5"/>
    <w:rsid w:val="007A1EC5"/>
    <w:rsid w:val="007A4F18"/>
    <w:rsid w:val="007A57B3"/>
    <w:rsid w:val="007A5E01"/>
    <w:rsid w:val="007B465F"/>
    <w:rsid w:val="007B6C9E"/>
    <w:rsid w:val="007C3B7A"/>
    <w:rsid w:val="007C52B2"/>
    <w:rsid w:val="007E7AD5"/>
    <w:rsid w:val="007F0162"/>
    <w:rsid w:val="007F01AF"/>
    <w:rsid w:val="007F1296"/>
    <w:rsid w:val="008002CE"/>
    <w:rsid w:val="008055F7"/>
    <w:rsid w:val="00811270"/>
    <w:rsid w:val="00811C01"/>
    <w:rsid w:val="00812381"/>
    <w:rsid w:val="00812D38"/>
    <w:rsid w:val="0081409D"/>
    <w:rsid w:val="008179B8"/>
    <w:rsid w:val="00823775"/>
    <w:rsid w:val="00833C15"/>
    <w:rsid w:val="00835E30"/>
    <w:rsid w:val="008367CD"/>
    <w:rsid w:val="00836C1E"/>
    <w:rsid w:val="0084044B"/>
    <w:rsid w:val="00840758"/>
    <w:rsid w:val="00843198"/>
    <w:rsid w:val="00853883"/>
    <w:rsid w:val="0085459E"/>
    <w:rsid w:val="00855765"/>
    <w:rsid w:val="00872699"/>
    <w:rsid w:val="0088029D"/>
    <w:rsid w:val="0088707D"/>
    <w:rsid w:val="00891A5A"/>
    <w:rsid w:val="00895477"/>
    <w:rsid w:val="008A0389"/>
    <w:rsid w:val="008A37A5"/>
    <w:rsid w:val="008A6727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32C"/>
    <w:rsid w:val="00973AE5"/>
    <w:rsid w:val="0097449A"/>
    <w:rsid w:val="00976E74"/>
    <w:rsid w:val="00983100"/>
    <w:rsid w:val="00990A51"/>
    <w:rsid w:val="009914F4"/>
    <w:rsid w:val="00996C09"/>
    <w:rsid w:val="00997887"/>
    <w:rsid w:val="009A399A"/>
    <w:rsid w:val="009B4DFA"/>
    <w:rsid w:val="009B693B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4019"/>
    <w:rsid w:val="00A0492D"/>
    <w:rsid w:val="00A14E3A"/>
    <w:rsid w:val="00A21EBA"/>
    <w:rsid w:val="00A22AB1"/>
    <w:rsid w:val="00A2642B"/>
    <w:rsid w:val="00A2646C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90AA9"/>
    <w:rsid w:val="00AA120F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3EB0"/>
    <w:rsid w:val="00B424CE"/>
    <w:rsid w:val="00B42BF9"/>
    <w:rsid w:val="00B51502"/>
    <w:rsid w:val="00B518C4"/>
    <w:rsid w:val="00B558EA"/>
    <w:rsid w:val="00B56F9E"/>
    <w:rsid w:val="00B6524D"/>
    <w:rsid w:val="00B65ED2"/>
    <w:rsid w:val="00B665F4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47C6"/>
    <w:rsid w:val="00BA56DC"/>
    <w:rsid w:val="00BA6CBB"/>
    <w:rsid w:val="00BB20ED"/>
    <w:rsid w:val="00BB2B2B"/>
    <w:rsid w:val="00BB65EC"/>
    <w:rsid w:val="00BB7377"/>
    <w:rsid w:val="00BC1153"/>
    <w:rsid w:val="00BD1A22"/>
    <w:rsid w:val="00BE1342"/>
    <w:rsid w:val="00BF4380"/>
    <w:rsid w:val="00C01E28"/>
    <w:rsid w:val="00C10B20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EDA"/>
    <w:rsid w:val="00C62F6A"/>
    <w:rsid w:val="00C638ED"/>
    <w:rsid w:val="00C77E48"/>
    <w:rsid w:val="00C90C20"/>
    <w:rsid w:val="00C93C51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10837"/>
    <w:rsid w:val="00D13773"/>
    <w:rsid w:val="00D17B7D"/>
    <w:rsid w:val="00D200A1"/>
    <w:rsid w:val="00D275D2"/>
    <w:rsid w:val="00D3246E"/>
    <w:rsid w:val="00D373CB"/>
    <w:rsid w:val="00D41261"/>
    <w:rsid w:val="00D4756A"/>
    <w:rsid w:val="00D5017A"/>
    <w:rsid w:val="00D572BE"/>
    <w:rsid w:val="00D63C7E"/>
    <w:rsid w:val="00D66A70"/>
    <w:rsid w:val="00D7372E"/>
    <w:rsid w:val="00D76D13"/>
    <w:rsid w:val="00D8302D"/>
    <w:rsid w:val="00D868D2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D036F"/>
    <w:rsid w:val="00DD2004"/>
    <w:rsid w:val="00DD78C5"/>
    <w:rsid w:val="00DD7C1A"/>
    <w:rsid w:val="00DE4DA7"/>
    <w:rsid w:val="00DE6549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73FDF"/>
    <w:rsid w:val="00E756FF"/>
    <w:rsid w:val="00E75F44"/>
    <w:rsid w:val="00E76990"/>
    <w:rsid w:val="00E922D8"/>
    <w:rsid w:val="00E94199"/>
    <w:rsid w:val="00E943C8"/>
    <w:rsid w:val="00E94900"/>
    <w:rsid w:val="00E94CE9"/>
    <w:rsid w:val="00EA1396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F160A"/>
    <w:rsid w:val="00EF25BB"/>
    <w:rsid w:val="00EF29A2"/>
    <w:rsid w:val="00EF4E91"/>
    <w:rsid w:val="00EF7C3F"/>
    <w:rsid w:val="00F03F6D"/>
    <w:rsid w:val="00F0401B"/>
    <w:rsid w:val="00F052B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7575A"/>
    <w:rsid w:val="00F805EA"/>
    <w:rsid w:val="00F8307E"/>
    <w:rsid w:val="00F83E48"/>
    <w:rsid w:val="00F83F32"/>
    <w:rsid w:val="00F85A98"/>
    <w:rsid w:val="00F90C1B"/>
    <w:rsid w:val="00FA000C"/>
    <w:rsid w:val="00FB1F68"/>
    <w:rsid w:val="00FB471C"/>
    <w:rsid w:val="00FD1A6A"/>
    <w:rsid w:val="00FD1DDB"/>
    <w:rsid w:val="00FD4E16"/>
    <w:rsid w:val="00FE6F32"/>
    <w:rsid w:val="00FF2B85"/>
    <w:rsid w:val="00FF2D28"/>
    <w:rsid w:val="00FF342B"/>
    <w:rsid w:val="00FF5476"/>
    <w:rsid w:val="01267EB4"/>
    <w:rsid w:val="01485917"/>
    <w:rsid w:val="01BF4F54"/>
    <w:rsid w:val="03453D84"/>
    <w:rsid w:val="038E2376"/>
    <w:rsid w:val="03EB4198"/>
    <w:rsid w:val="04555AB8"/>
    <w:rsid w:val="04782991"/>
    <w:rsid w:val="04EE7016"/>
    <w:rsid w:val="0783658F"/>
    <w:rsid w:val="07E123E5"/>
    <w:rsid w:val="07F357DA"/>
    <w:rsid w:val="07F41463"/>
    <w:rsid w:val="0A1B4DB4"/>
    <w:rsid w:val="0B81050B"/>
    <w:rsid w:val="0C0D59C7"/>
    <w:rsid w:val="0CD33B1C"/>
    <w:rsid w:val="0D2D48BF"/>
    <w:rsid w:val="0EEC1DEF"/>
    <w:rsid w:val="0F376BA5"/>
    <w:rsid w:val="0FF37A1F"/>
    <w:rsid w:val="106D0FDE"/>
    <w:rsid w:val="11241EE3"/>
    <w:rsid w:val="12126580"/>
    <w:rsid w:val="12517145"/>
    <w:rsid w:val="1263610F"/>
    <w:rsid w:val="12902B99"/>
    <w:rsid w:val="13197835"/>
    <w:rsid w:val="135C3A2D"/>
    <w:rsid w:val="13A76031"/>
    <w:rsid w:val="15967967"/>
    <w:rsid w:val="15AC4965"/>
    <w:rsid w:val="167861BC"/>
    <w:rsid w:val="171929FF"/>
    <w:rsid w:val="17853944"/>
    <w:rsid w:val="1891280A"/>
    <w:rsid w:val="18F35914"/>
    <w:rsid w:val="190E2382"/>
    <w:rsid w:val="19FF7623"/>
    <w:rsid w:val="1A526D9F"/>
    <w:rsid w:val="1A5A0689"/>
    <w:rsid w:val="1AFC2AD3"/>
    <w:rsid w:val="1CB05C8F"/>
    <w:rsid w:val="1E5C2561"/>
    <w:rsid w:val="1F11471C"/>
    <w:rsid w:val="1FE77846"/>
    <w:rsid w:val="207974E9"/>
    <w:rsid w:val="211F7FB2"/>
    <w:rsid w:val="21943729"/>
    <w:rsid w:val="22570431"/>
    <w:rsid w:val="229477F1"/>
    <w:rsid w:val="23483CBB"/>
    <w:rsid w:val="234930D8"/>
    <w:rsid w:val="23815F75"/>
    <w:rsid w:val="23A6199D"/>
    <w:rsid w:val="2448271B"/>
    <w:rsid w:val="245D5F94"/>
    <w:rsid w:val="24DB5D02"/>
    <w:rsid w:val="2540073D"/>
    <w:rsid w:val="257D795C"/>
    <w:rsid w:val="26587C11"/>
    <w:rsid w:val="29141408"/>
    <w:rsid w:val="2A413CA5"/>
    <w:rsid w:val="2A6558CD"/>
    <w:rsid w:val="2B1D744F"/>
    <w:rsid w:val="2B325CC2"/>
    <w:rsid w:val="2C2E2C7F"/>
    <w:rsid w:val="30F47F68"/>
    <w:rsid w:val="31F12637"/>
    <w:rsid w:val="31F45714"/>
    <w:rsid w:val="32931C65"/>
    <w:rsid w:val="33DA6AF9"/>
    <w:rsid w:val="34531215"/>
    <w:rsid w:val="34870AA4"/>
    <w:rsid w:val="34900FB5"/>
    <w:rsid w:val="34E338F0"/>
    <w:rsid w:val="35710584"/>
    <w:rsid w:val="359F1AD3"/>
    <w:rsid w:val="361946D4"/>
    <w:rsid w:val="36581311"/>
    <w:rsid w:val="37D64D5C"/>
    <w:rsid w:val="39794B01"/>
    <w:rsid w:val="39C06E38"/>
    <w:rsid w:val="3A2510AE"/>
    <w:rsid w:val="3A7E460D"/>
    <w:rsid w:val="3ACF0BA8"/>
    <w:rsid w:val="3D3C5AAD"/>
    <w:rsid w:val="3DB6122F"/>
    <w:rsid w:val="3E6B233F"/>
    <w:rsid w:val="3EA23F84"/>
    <w:rsid w:val="3F88172D"/>
    <w:rsid w:val="40301770"/>
    <w:rsid w:val="40903C6A"/>
    <w:rsid w:val="412459CF"/>
    <w:rsid w:val="426B2BA1"/>
    <w:rsid w:val="43625BA6"/>
    <w:rsid w:val="440C6F04"/>
    <w:rsid w:val="447C2BEE"/>
    <w:rsid w:val="46450DA9"/>
    <w:rsid w:val="47DA5A7D"/>
    <w:rsid w:val="4ADF1BFA"/>
    <w:rsid w:val="4C2A7F7D"/>
    <w:rsid w:val="4C5E1344"/>
    <w:rsid w:val="4DD1627E"/>
    <w:rsid w:val="4E076FD7"/>
    <w:rsid w:val="4F92034C"/>
    <w:rsid w:val="4FAD4E62"/>
    <w:rsid w:val="50202197"/>
    <w:rsid w:val="51316082"/>
    <w:rsid w:val="51497879"/>
    <w:rsid w:val="52507562"/>
    <w:rsid w:val="528A253E"/>
    <w:rsid w:val="52ED6391"/>
    <w:rsid w:val="534E5839"/>
    <w:rsid w:val="55364A36"/>
    <w:rsid w:val="559343A5"/>
    <w:rsid w:val="559C3E86"/>
    <w:rsid w:val="55A347B5"/>
    <w:rsid w:val="55ED413C"/>
    <w:rsid w:val="56454980"/>
    <w:rsid w:val="57DF0AFE"/>
    <w:rsid w:val="58E9671B"/>
    <w:rsid w:val="59852D46"/>
    <w:rsid w:val="59C34C00"/>
    <w:rsid w:val="5B99618E"/>
    <w:rsid w:val="5C1B64A9"/>
    <w:rsid w:val="5CBA0FF0"/>
    <w:rsid w:val="5DE04ACD"/>
    <w:rsid w:val="5EFE158E"/>
    <w:rsid w:val="60384EED"/>
    <w:rsid w:val="60B375AF"/>
    <w:rsid w:val="61CE48B4"/>
    <w:rsid w:val="63532315"/>
    <w:rsid w:val="63B47FF0"/>
    <w:rsid w:val="649B5A1A"/>
    <w:rsid w:val="650D1BF9"/>
    <w:rsid w:val="65103F1D"/>
    <w:rsid w:val="6588393D"/>
    <w:rsid w:val="67691EF5"/>
    <w:rsid w:val="69F26EB1"/>
    <w:rsid w:val="6AE36FF0"/>
    <w:rsid w:val="6BA67EE1"/>
    <w:rsid w:val="6C952916"/>
    <w:rsid w:val="6DB73A80"/>
    <w:rsid w:val="6FF66578"/>
    <w:rsid w:val="703E7145"/>
    <w:rsid w:val="7084719B"/>
    <w:rsid w:val="70A204D5"/>
    <w:rsid w:val="70AF2F30"/>
    <w:rsid w:val="71496613"/>
    <w:rsid w:val="71C8141C"/>
    <w:rsid w:val="72441840"/>
    <w:rsid w:val="72734BB1"/>
    <w:rsid w:val="72C43D9D"/>
    <w:rsid w:val="73AD27BB"/>
    <w:rsid w:val="73EB4487"/>
    <w:rsid w:val="745473BD"/>
    <w:rsid w:val="7466086E"/>
    <w:rsid w:val="74F66AA3"/>
    <w:rsid w:val="750504A7"/>
    <w:rsid w:val="75D64B09"/>
    <w:rsid w:val="7710401D"/>
    <w:rsid w:val="7758744C"/>
    <w:rsid w:val="777D02A3"/>
    <w:rsid w:val="791B6C48"/>
    <w:rsid w:val="7BF04175"/>
    <w:rsid w:val="7C6C00BF"/>
    <w:rsid w:val="7D4C1EFB"/>
    <w:rsid w:val="7D81796F"/>
    <w:rsid w:val="7DD04C57"/>
    <w:rsid w:val="7E710BD2"/>
    <w:rsid w:val="7FD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4">
    <w:name w:val="heading 3"/>
    <w:basedOn w:val="1"/>
    <w:next w:val="1"/>
    <w:qFormat/>
    <w:uiPriority w:val="0"/>
    <w:pPr>
      <w:tabs>
        <w:tab w:val="left" w:pos="786"/>
      </w:tabs>
      <w:jc w:val="both"/>
      <w:outlineLvl w:val="2"/>
    </w:pPr>
    <w:rPr>
      <w:rFonts w:ascii="Times New Roman" w:hAnsi="Times New Roman" w:eastAsia="仿宋_GB2312"/>
      <w:b/>
      <w:sz w:val="24"/>
      <w:szCs w:val="24"/>
    </w:rPr>
  </w:style>
  <w:style w:type="paragraph" w:styleId="5">
    <w:name w:val="heading 4"/>
    <w:basedOn w:val="2"/>
    <w:next w:val="1"/>
    <w:qFormat/>
    <w:uiPriority w:val="0"/>
    <w:pPr>
      <w:numPr>
        <w:ilvl w:val="3"/>
      </w:numPr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00"/>
    </w:pPr>
    <w:rPr>
      <w:sz w:val="18"/>
    </w:rPr>
  </w:style>
  <w:style w:type="paragraph" w:styleId="12">
    <w:name w:val="Normal Indent"/>
    <w:basedOn w:val="1"/>
    <w:qFormat/>
    <w:uiPriority w:val="0"/>
    <w:pPr>
      <w:ind w:left="900" w:hanging="900"/>
    </w:pPr>
  </w:style>
  <w:style w:type="paragraph" w:styleId="13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14">
    <w:name w:val="annotation text"/>
    <w:basedOn w:val="1"/>
    <w:link w:val="65"/>
    <w:qFormat/>
    <w:uiPriority w:val="0"/>
  </w:style>
  <w:style w:type="paragraph" w:styleId="15">
    <w:name w:val="Body Text"/>
    <w:basedOn w:val="1"/>
    <w:qFormat/>
    <w:uiPriority w:val="0"/>
    <w:pPr>
      <w:keepLines/>
      <w:spacing w:after="120"/>
      <w:ind w:left="720"/>
    </w:pPr>
  </w:style>
  <w:style w:type="paragraph" w:styleId="16">
    <w:name w:val="Body Text Indent"/>
    <w:basedOn w:val="1"/>
    <w:qFormat/>
    <w:uiPriority w:val="0"/>
    <w:pPr>
      <w:ind w:left="720"/>
    </w:pPr>
    <w:rPr>
      <w:i/>
      <w:color w:val="0000FF"/>
      <w:u w:val="single"/>
    </w:rPr>
  </w:style>
  <w:style w:type="paragraph" w:styleId="17">
    <w:name w:val="toc 5"/>
    <w:basedOn w:val="1"/>
    <w:next w:val="1"/>
    <w:semiHidden/>
    <w:qFormat/>
    <w:uiPriority w:val="0"/>
    <w:pPr>
      <w:ind w:left="800"/>
    </w:pPr>
    <w:rPr>
      <w:sz w:val="18"/>
    </w:rPr>
  </w:style>
  <w:style w:type="paragraph" w:styleId="18">
    <w:name w:val="toc 3"/>
    <w:basedOn w:val="1"/>
    <w:next w:val="1"/>
    <w:semiHidden/>
    <w:qFormat/>
    <w:uiPriority w:val="0"/>
    <w:pPr>
      <w:ind w:left="400"/>
    </w:pPr>
    <w:rPr>
      <w:i/>
    </w:rPr>
  </w:style>
  <w:style w:type="paragraph" w:styleId="19">
    <w:name w:val="toc 8"/>
    <w:basedOn w:val="1"/>
    <w:next w:val="1"/>
    <w:semiHidden/>
    <w:qFormat/>
    <w:uiPriority w:val="0"/>
    <w:pPr>
      <w:ind w:left="1400"/>
    </w:pPr>
    <w:rPr>
      <w:sz w:val="18"/>
    </w:rPr>
  </w:style>
  <w:style w:type="paragraph" w:styleId="20">
    <w:name w:val="Date"/>
    <w:basedOn w:val="1"/>
    <w:next w:val="1"/>
    <w:qFormat/>
    <w:uiPriority w:val="0"/>
    <w:pPr>
      <w:spacing w:line="240" w:lineRule="auto"/>
      <w:ind w:left="100" w:leftChars="2500"/>
      <w:jc w:val="both"/>
    </w:pPr>
    <w:rPr>
      <w:kern w:val="2"/>
      <w:szCs w:val="24"/>
    </w:rPr>
  </w:style>
  <w:style w:type="paragraph" w:styleId="21">
    <w:name w:val="Body Text Indent 2"/>
    <w:basedOn w:val="1"/>
    <w:qFormat/>
    <w:uiPriority w:val="0"/>
    <w:pPr>
      <w:ind w:left="392" w:hanging="392"/>
    </w:pPr>
    <w:rPr>
      <w:rFonts w:ascii="宋体"/>
    </w:rPr>
  </w:style>
  <w:style w:type="paragraph" w:styleId="22">
    <w:name w:val="Balloon Text"/>
    <w:basedOn w:val="1"/>
    <w:semiHidden/>
    <w:qFormat/>
    <w:uiPriority w:val="0"/>
    <w:rPr>
      <w:sz w:val="18"/>
      <w:szCs w:val="18"/>
    </w:rPr>
  </w:style>
  <w:style w:type="paragraph" w:styleId="2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4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5">
    <w:name w:val="toc 1"/>
    <w:basedOn w:val="1"/>
    <w:next w:val="1"/>
    <w:semiHidden/>
    <w:qFormat/>
    <w:uiPriority w:val="0"/>
    <w:pPr>
      <w:spacing w:before="120" w:after="120"/>
    </w:pPr>
    <w:rPr>
      <w:b/>
      <w:caps/>
    </w:rPr>
  </w:style>
  <w:style w:type="paragraph" w:styleId="26">
    <w:name w:val="toc 4"/>
    <w:basedOn w:val="1"/>
    <w:next w:val="1"/>
    <w:semiHidden/>
    <w:qFormat/>
    <w:uiPriority w:val="0"/>
    <w:pPr>
      <w:ind w:left="600"/>
    </w:pPr>
    <w:rPr>
      <w:sz w:val="18"/>
    </w:rPr>
  </w:style>
  <w:style w:type="paragraph" w:styleId="27">
    <w:name w:val="Subtitle"/>
    <w:basedOn w:val="1"/>
    <w:qFormat/>
    <w:uiPriority w:val="0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28">
    <w:name w:val="footnote text"/>
    <w:basedOn w:val="1"/>
    <w:semiHidden/>
    <w:qFormat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29">
    <w:name w:val="toc 6"/>
    <w:basedOn w:val="1"/>
    <w:next w:val="1"/>
    <w:semiHidden/>
    <w:qFormat/>
    <w:uiPriority w:val="0"/>
    <w:pPr>
      <w:ind w:left="1000"/>
    </w:pPr>
    <w:rPr>
      <w:sz w:val="18"/>
    </w:rPr>
  </w:style>
  <w:style w:type="paragraph" w:styleId="30">
    <w:name w:val="Body Text Indent 3"/>
    <w:basedOn w:val="1"/>
    <w:qFormat/>
    <w:uiPriority w:val="0"/>
    <w:pPr>
      <w:ind w:left="360"/>
    </w:pPr>
    <w:rPr>
      <w:rFonts w:ascii="宋体"/>
      <w:sz w:val="22"/>
    </w:rPr>
  </w:style>
  <w:style w:type="paragraph" w:styleId="31">
    <w:name w:val="toc 2"/>
    <w:basedOn w:val="1"/>
    <w:next w:val="1"/>
    <w:semiHidden/>
    <w:qFormat/>
    <w:uiPriority w:val="0"/>
    <w:pPr>
      <w:ind w:left="200"/>
    </w:pPr>
    <w:rPr>
      <w:smallCaps/>
    </w:rPr>
  </w:style>
  <w:style w:type="paragraph" w:styleId="32">
    <w:name w:val="toc 9"/>
    <w:basedOn w:val="1"/>
    <w:next w:val="1"/>
    <w:semiHidden/>
    <w:qFormat/>
    <w:uiPriority w:val="0"/>
    <w:pPr>
      <w:ind w:left="1600"/>
    </w:pPr>
    <w:rPr>
      <w:sz w:val="18"/>
    </w:rPr>
  </w:style>
  <w:style w:type="paragraph" w:styleId="33">
    <w:name w:val="Body Text 2"/>
    <w:basedOn w:val="1"/>
    <w:qFormat/>
    <w:uiPriority w:val="0"/>
    <w:rPr>
      <w:i/>
      <w:color w:val="0000FF"/>
    </w:rPr>
  </w:style>
  <w:style w:type="paragraph" w:styleId="34">
    <w:name w:val="Title"/>
    <w:basedOn w:val="1"/>
    <w:next w:val="1"/>
    <w:qFormat/>
    <w:uiPriority w:val="0"/>
    <w:pPr>
      <w:spacing w:line="240" w:lineRule="auto"/>
      <w:jc w:val="center"/>
    </w:pPr>
    <w:rPr>
      <w:rFonts w:ascii="Arial" w:hAnsi="Arial"/>
      <w:b/>
      <w:sz w:val="36"/>
    </w:rPr>
  </w:style>
  <w:style w:type="paragraph" w:styleId="35">
    <w:name w:val="annotation subject"/>
    <w:basedOn w:val="14"/>
    <w:next w:val="14"/>
    <w:link w:val="64"/>
    <w:qFormat/>
    <w:uiPriority w:val="0"/>
    <w:rPr>
      <w:b/>
      <w:bCs/>
    </w:rPr>
  </w:style>
  <w:style w:type="table" w:styleId="37">
    <w:name w:val="Table Grid"/>
    <w:basedOn w:val="36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9">
    <w:name w:val="Strong"/>
    <w:qFormat/>
    <w:uiPriority w:val="0"/>
    <w:rPr>
      <w:b/>
      <w:bCs/>
    </w:rPr>
  </w:style>
  <w:style w:type="character" w:styleId="40">
    <w:name w:val="page number"/>
    <w:basedOn w:val="38"/>
    <w:qFormat/>
    <w:uiPriority w:val="0"/>
  </w:style>
  <w:style w:type="character" w:styleId="41">
    <w:name w:val="FollowedHyperlink"/>
    <w:qFormat/>
    <w:uiPriority w:val="0"/>
    <w:rPr>
      <w:color w:val="800080"/>
      <w:u w:val="single"/>
    </w:rPr>
  </w:style>
  <w:style w:type="character" w:styleId="42">
    <w:name w:val="Hyperlink"/>
    <w:qFormat/>
    <w:uiPriority w:val="0"/>
    <w:rPr>
      <w:color w:val="0000FF"/>
      <w:u w:val="single"/>
    </w:rPr>
  </w:style>
  <w:style w:type="character" w:styleId="43">
    <w:name w:val="annotation reference"/>
    <w:qFormat/>
    <w:uiPriority w:val="0"/>
    <w:rPr>
      <w:sz w:val="21"/>
      <w:szCs w:val="21"/>
    </w:rPr>
  </w:style>
  <w:style w:type="character" w:styleId="44">
    <w:name w:val="footnote reference"/>
    <w:semiHidden/>
    <w:qFormat/>
    <w:uiPriority w:val="0"/>
    <w:rPr>
      <w:sz w:val="20"/>
      <w:vertAlign w:val="superscript"/>
    </w:rPr>
  </w:style>
  <w:style w:type="paragraph" w:customStyle="1" w:styleId="45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8">
    <w:name w:val="Comment"/>
    <w:basedOn w:val="1"/>
    <w:qFormat/>
    <w:uiPriority w:val="0"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49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50">
    <w:name w:val="Bullet1"/>
    <w:basedOn w:val="1"/>
    <w:qFormat/>
    <w:uiPriority w:val="0"/>
    <w:pPr>
      <w:ind w:left="720" w:hanging="432"/>
    </w:pPr>
  </w:style>
  <w:style w:type="paragraph" w:customStyle="1" w:styleId="51">
    <w:name w:val="InfoBlue"/>
    <w:basedOn w:val="1"/>
    <w:next w:val="15"/>
    <w:qFormat/>
    <w:uiPriority w:val="0"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52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53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54">
    <w:name w:val="HD标题3"/>
    <w:basedOn w:val="1"/>
    <w:qFormat/>
    <w:uiPriority w:val="0"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55">
    <w:name w:val="Main Title"/>
    <w:basedOn w:val="1"/>
    <w:qFormat/>
    <w:uiPriority w:val="0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56">
    <w:name w:val="注释"/>
    <w:basedOn w:val="1"/>
    <w:qFormat/>
    <w:uiPriority w:val="0"/>
    <w:rPr>
      <w:color w:val="0000FF"/>
    </w:rPr>
  </w:style>
  <w:style w:type="paragraph" w:customStyle="1" w:styleId="57">
    <w:name w:val="Bullet"/>
    <w:basedOn w:val="1"/>
    <w:qFormat/>
    <w:uiPriority w:val="0"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58">
    <w:name w:val="Body"/>
    <w:basedOn w:val="1"/>
    <w:qFormat/>
    <w:uiPriority w:val="0"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59">
    <w:name w:val="HD正文1"/>
    <w:basedOn w:val="1"/>
    <w:qFormat/>
    <w:uiPriority w:val="0"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60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61">
    <w:name w:val="Tabletext"/>
    <w:basedOn w:val="1"/>
    <w:qFormat/>
    <w:uiPriority w:val="0"/>
    <w:pPr>
      <w:keepLines/>
      <w:spacing w:after="120"/>
    </w:pPr>
  </w:style>
  <w:style w:type="paragraph" w:customStyle="1" w:styleId="62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64">
    <w:name w:val="批注主题 字符"/>
    <w:link w:val="35"/>
    <w:qFormat/>
    <w:uiPriority w:val="0"/>
    <w:rPr>
      <w:b/>
      <w:bCs/>
      <w:sz w:val="21"/>
    </w:rPr>
  </w:style>
  <w:style w:type="character" w:customStyle="1" w:styleId="65">
    <w:name w:val="批注文字 字符"/>
    <w:link w:val="14"/>
    <w:qFormat/>
    <w:uiPriority w:val="0"/>
    <w:rPr>
      <w:sz w:val="21"/>
    </w:rPr>
  </w:style>
  <w:style w:type="paragraph" w:styleId="66">
    <w:name w:val="List Paragraph"/>
    <w:basedOn w:val="1"/>
    <w:qFormat/>
    <w:uiPriority w:val="34"/>
    <w:pPr>
      <w:ind w:firstLine="420" w:firstLineChars="200"/>
    </w:pPr>
  </w:style>
  <w:style w:type="character" w:customStyle="1" w:styleId="67">
    <w:name w:val="正文文本 + MingLiU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3"/>
      <w:szCs w:val="13"/>
      <w:u w:val="none"/>
      <w:lang w:val="zh-TW"/>
    </w:rPr>
  </w:style>
  <w:style w:type="character" w:customStyle="1" w:styleId="68">
    <w:name w:val="正文文本3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3"/>
      <w:szCs w:val="13"/>
      <w:u w:val="no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Company>mzhx</Company>
  <Pages>13</Pages>
  <Words>3150</Words>
  <Characters>2409</Characters>
  <Lines>20</Lines>
  <Paragraphs>11</Paragraphs>
  <TotalTime>0</TotalTime>
  <ScaleCrop>false</ScaleCrop>
  <LinksUpToDate>false</LinksUpToDate>
  <CharactersWithSpaces>5548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2020-08-20T15:17:00Z</dcterms:created>
  <dc:creator>renzt</dc:creator>
  <cp:lastModifiedBy>傅强</cp:lastModifiedBy>
  <cp:lastPrinted>2018-05-31T02:20:00Z</cp:lastPrinted>
  <dcterms:modified xsi:type="dcterms:W3CDTF">2021-06-07T03:21:44Z</dcterms:modified>
  <dc:title>质量记录控制程序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2052-11.1.0.10463</vt:lpwstr>
  </property>
  <property fmtid="{D5CDD505-2E9C-101B-9397-08002B2CF9AE}" pid="6" name="审核1">
    <vt:lpwstr>杨超</vt:lpwstr>
  </property>
  <property fmtid="{D5CDD505-2E9C-101B-9397-08002B2CF9AE}" pid="7" name="批准1">
    <vt:lpwstr>任盛伟</vt:lpwstr>
  </property>
  <property fmtid="{D5CDD505-2E9C-101B-9397-08002B2CF9AE}" pid="8" name="编制1">
    <vt:lpwstr>李洋</vt:lpwstr>
  </property>
  <property fmtid="{D5CDD505-2E9C-101B-9397-08002B2CF9AE}" pid="9" name="批准1日期">
    <vt:lpwstr>2021-06-04</vt:lpwstr>
  </property>
  <property fmtid="{D5CDD505-2E9C-101B-9397-08002B2CF9AE}" pid="10" name="批准1日期1">
    <vt:lpwstr> </vt:lpwstr>
  </property>
  <property fmtid="{D5CDD505-2E9C-101B-9397-08002B2CF9AE}" pid="11" name="ICV">
    <vt:lpwstr>201E1AEA384647B3B841A82DACFC89C5</vt:lpwstr>
  </property>
</Properties>
</file>