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460"/>
        </w:tabs>
        <w:spacing w:line="400" w:lineRule="exact"/>
        <w:jc w:val="both"/>
        <w:rPr>
          <w:rFonts w:ascii="Times New Roman" w:hAnsi="Times New Roman" w:eastAsia="仿宋_GB2312" w:cs="Times New Roman"/>
          <w:sz w:val="24"/>
          <w:szCs w:val="24"/>
        </w:rPr>
      </w:pPr>
      <w:bookmarkStart w:id="50" w:name="_GoBack"/>
      <w:bookmarkEnd w:id="50"/>
      <w:r>
        <w:rPr>
          <w:rFonts w:ascii="Times New Roman" w:hAnsi="Times New Roman" w:cs="Times New Roman"/>
          <w:sz w:val="24"/>
          <w:szCs w:val="24"/>
        </w:rPr>
        <w:t>文件编号：</w:t>
      </w:r>
      <w:r>
        <w:rPr>
          <w:rFonts w:ascii="Times New Roman" w:hAnsi="Times New Roman" w:eastAsia="仿宋_GB2312" w:cs="Times New Roman"/>
          <w:sz w:val="24"/>
          <w:szCs w:val="24"/>
        </w:rPr>
        <w:t>GY/INMAI-</w:t>
      </w:r>
      <w:r>
        <w:rPr>
          <w:rFonts w:hint="eastAsia" w:ascii="Times New Roman" w:hAnsi="Times New Roman" w:eastAsia="仿宋_GB2312" w:cs="Times New Roman"/>
          <w:sz w:val="24"/>
          <w:szCs w:val="24"/>
        </w:rPr>
        <w:t>GX-3-L2-JG-0022</w:t>
      </w:r>
    </w:p>
    <w:p>
      <w:pPr>
        <w:spacing w:line="400" w:lineRule="exact"/>
        <w:rPr>
          <w:rFonts w:hint="eastAsia" w:ascii="Times New Roman" w:hAnsi="Times New Roman" w:eastAsia="宋体" w:cs="Times New Roman"/>
          <w:sz w:val="24"/>
          <w:szCs w:val="24"/>
          <w:u w:val="single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版本号：</w:t>
      </w:r>
      <w:r>
        <w:rPr>
          <w:rFonts w:ascii="Times New Roman" w:hAnsi="Times New Roman" w:eastAsia="宋体" w:cs="Times New Roman"/>
          <w:sz w:val="24"/>
          <w:szCs w:val="24"/>
        </w:rPr>
        <w:t>V</w:t>
      </w:r>
      <w:r>
        <w:rPr>
          <w:rFonts w:hint="eastAsia" w:ascii="Times New Roman" w:hAnsi="Times New Roman" w:eastAsia="宋体" w:cs="Times New Roman"/>
          <w:sz w:val="24"/>
          <w:szCs w:val="24"/>
        </w:rPr>
        <w:t>1</w:t>
      </w:r>
      <w:r>
        <w:rPr>
          <w:rFonts w:ascii="Times New Roman" w:hAnsi="Times New Roman" w:eastAsia="宋体" w:cs="Times New Roman"/>
          <w:sz w:val="24"/>
          <w:szCs w:val="24"/>
        </w:rPr>
        <w:t>.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</w:t>
      </w:r>
    </w:p>
    <w:p>
      <w:pPr>
        <w:spacing w:line="300" w:lineRule="auto"/>
        <w:jc w:val="center"/>
        <w:rPr>
          <w:rFonts w:ascii="Times New Roman" w:hAnsi="Times New Roman" w:eastAsia="楷体_GB2312" w:cs="Times New Roman"/>
          <w:sz w:val="48"/>
        </w:rPr>
      </w:pPr>
    </w:p>
    <w:p>
      <w:pPr>
        <w:spacing w:line="300" w:lineRule="auto"/>
        <w:jc w:val="center"/>
        <w:rPr>
          <w:rFonts w:ascii="Times New Roman" w:hAnsi="Times New Roman" w:eastAsia="楷体_GB2312" w:cs="Times New Roman"/>
          <w:sz w:val="48"/>
        </w:rPr>
      </w:pPr>
    </w:p>
    <w:p>
      <w:pPr>
        <w:tabs>
          <w:tab w:val="left" w:pos="8190"/>
        </w:tabs>
        <w:spacing w:line="300" w:lineRule="auto"/>
        <w:jc w:val="center"/>
        <w:rPr>
          <w:rFonts w:ascii="Times New Roman" w:hAnsi="Times New Roman" w:cs="Times New Roman"/>
          <w:sz w:val="48"/>
          <w:szCs w:val="48"/>
        </w:rPr>
      </w:pPr>
    </w:p>
    <w:p>
      <w:pPr>
        <w:jc w:val="center"/>
        <w:rPr>
          <w:rFonts w:ascii="黑体" w:hAnsi="宋体" w:eastAsia="黑体" w:cs="黑体"/>
          <w:b/>
          <w:bCs/>
          <w:spacing w:val="56"/>
          <w:sz w:val="52"/>
          <w:szCs w:val="52"/>
        </w:rPr>
      </w:pPr>
      <w:r>
        <w:rPr>
          <w:rFonts w:hint="eastAsia" w:ascii="黑体" w:hAnsi="宋体" w:eastAsia="黑体" w:cs="黑体"/>
          <w:b/>
          <w:bCs/>
          <w:spacing w:val="56"/>
          <w:sz w:val="52"/>
          <w:szCs w:val="52"/>
        </w:rPr>
        <w:t>激光光源采集模块</w:t>
      </w:r>
    </w:p>
    <w:p>
      <w:pPr>
        <w:jc w:val="center"/>
        <w:rPr>
          <w:rFonts w:hint="default" w:ascii="黑体" w:hAnsi="宋体" w:eastAsia="黑体" w:cs="黑体"/>
          <w:b/>
          <w:bCs/>
          <w:spacing w:val="56"/>
          <w:sz w:val="52"/>
          <w:szCs w:val="52"/>
          <w:lang w:val="en-US" w:eastAsia="zh-CN"/>
        </w:rPr>
      </w:pPr>
      <w:r>
        <w:rPr>
          <w:rFonts w:hint="eastAsia" w:ascii="黑体" w:hAnsi="宋体" w:eastAsia="黑体" w:cs="黑体"/>
          <w:b/>
          <w:bCs/>
          <w:spacing w:val="56"/>
          <w:sz w:val="52"/>
          <w:szCs w:val="52"/>
        </w:rPr>
        <w:t>GX3-LSM-04KGM-01A</w:t>
      </w:r>
      <w:r>
        <w:rPr>
          <w:rFonts w:hint="eastAsia" w:ascii="黑体" w:hAnsi="宋体" w:eastAsia="黑体" w:cs="黑体"/>
          <w:b/>
          <w:bCs/>
          <w:spacing w:val="56"/>
          <w:sz w:val="52"/>
          <w:szCs w:val="52"/>
          <w:lang w:val="en-US" w:eastAsia="zh-CN"/>
        </w:rPr>
        <w:t>/</w:t>
      </w:r>
      <w:r>
        <w:rPr>
          <w:rFonts w:hint="eastAsia" w:ascii="黑体" w:hAnsi="宋体" w:eastAsia="黑体" w:cs="黑体"/>
          <w:b/>
          <w:bCs/>
          <w:spacing w:val="56"/>
          <w:sz w:val="52"/>
          <w:szCs w:val="52"/>
        </w:rPr>
        <w:t>B</w:t>
      </w:r>
      <w:r>
        <w:rPr>
          <w:rFonts w:hint="eastAsia" w:ascii="黑体" w:hAnsi="宋体" w:eastAsia="黑体" w:cs="黑体"/>
          <w:b/>
          <w:bCs/>
          <w:spacing w:val="56"/>
          <w:sz w:val="52"/>
          <w:szCs w:val="52"/>
          <w:lang w:val="en-US" w:eastAsia="zh-CN"/>
        </w:rPr>
        <w:t>/</w:t>
      </w:r>
      <w:r>
        <w:rPr>
          <w:rFonts w:hint="eastAsia" w:ascii="黑体" w:hAnsi="宋体" w:eastAsia="黑体" w:cs="黑体"/>
          <w:b/>
          <w:bCs/>
          <w:spacing w:val="56"/>
          <w:sz w:val="52"/>
          <w:szCs w:val="52"/>
        </w:rPr>
        <w:t>C</w:t>
      </w:r>
      <w:r>
        <w:rPr>
          <w:rFonts w:hint="eastAsia" w:ascii="黑体" w:hAnsi="宋体" w:eastAsia="黑体" w:cs="黑体"/>
          <w:b/>
          <w:bCs/>
          <w:spacing w:val="56"/>
          <w:sz w:val="52"/>
          <w:szCs w:val="52"/>
          <w:lang w:val="en-US" w:eastAsia="zh-CN"/>
        </w:rPr>
        <w:t>/</w:t>
      </w:r>
      <w:r>
        <w:rPr>
          <w:rFonts w:hint="eastAsia" w:ascii="黑体" w:hAnsi="宋体" w:eastAsia="黑体" w:cs="黑体"/>
          <w:b/>
          <w:bCs/>
          <w:spacing w:val="56"/>
          <w:sz w:val="52"/>
          <w:szCs w:val="52"/>
        </w:rPr>
        <w:t>D</w:t>
      </w:r>
    </w:p>
    <w:p>
      <w:pPr>
        <w:jc w:val="center"/>
        <w:rPr>
          <w:rFonts w:ascii="黑体" w:hAnsi="宋体" w:eastAsia="黑体" w:cs="黑体"/>
          <w:b/>
          <w:bCs/>
          <w:spacing w:val="56"/>
          <w:sz w:val="52"/>
          <w:szCs w:val="52"/>
        </w:rPr>
      </w:pPr>
      <w:r>
        <w:rPr>
          <w:rFonts w:hint="eastAsia" w:ascii="黑体" w:hAnsi="宋体" w:eastAsia="黑体" w:cs="黑体"/>
          <w:b/>
          <w:bCs/>
          <w:spacing w:val="56"/>
          <w:sz w:val="52"/>
          <w:szCs w:val="52"/>
        </w:rPr>
        <w:t>技术需求书</w:t>
      </w:r>
    </w:p>
    <w:p>
      <w:pPr>
        <w:jc w:val="center"/>
        <w:rPr>
          <w:rFonts w:ascii="黑体" w:hAnsi="宋体" w:eastAsia="黑体" w:cs="黑体"/>
          <w:b/>
          <w:bCs/>
          <w:spacing w:val="56"/>
          <w:sz w:val="52"/>
          <w:szCs w:val="52"/>
        </w:rPr>
      </w:pPr>
    </w:p>
    <w:p>
      <w:pPr>
        <w:jc w:val="center"/>
        <w:rPr>
          <w:rFonts w:ascii="黑体" w:hAnsi="宋体" w:eastAsia="黑体" w:cs="黑体"/>
          <w:b/>
          <w:bCs/>
          <w:spacing w:val="56"/>
          <w:sz w:val="52"/>
          <w:szCs w:val="52"/>
        </w:rPr>
      </w:pPr>
    </w:p>
    <w:p>
      <w:pPr>
        <w:spacing w:line="400" w:lineRule="exact"/>
        <w:rPr>
          <w:rFonts w:ascii="Times New Roman" w:hAnsi="Times New Roman" w:cs="Times New Roman"/>
          <w:sz w:val="28"/>
          <w:szCs w:val="28"/>
          <w:u w:val="single"/>
        </w:rPr>
      </w:pPr>
    </w:p>
    <w:p>
      <w:pPr>
        <w:spacing w:line="400" w:lineRule="exact"/>
        <w:rPr>
          <w:rFonts w:ascii="Times New Roman" w:hAnsi="Times New Roman" w:cs="Times New Roman"/>
          <w:sz w:val="28"/>
          <w:szCs w:val="28"/>
          <w:u w:val="single"/>
        </w:rPr>
      </w:pPr>
    </w:p>
    <w:p>
      <w:pPr>
        <w:spacing w:line="400" w:lineRule="exact"/>
        <w:rPr>
          <w:rFonts w:ascii="Times New Roman" w:hAnsi="Times New Roman" w:cs="Times New Roman"/>
          <w:sz w:val="28"/>
          <w:szCs w:val="28"/>
          <w:u w:val="single"/>
        </w:rPr>
      </w:pPr>
    </w:p>
    <w:p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编 制：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编制1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审 核：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审核1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批 准：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批准1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>
      <w:pPr>
        <w:spacing w:line="300" w:lineRule="auto"/>
        <w:ind w:firstLine="2960"/>
        <w:rPr>
          <w:rFonts w:ascii="Times New Roman" w:hAnsi="Times New Roman" w:eastAsia="宋体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批准日期：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begin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instrText xml:space="preserve"> DOCPROPERTY 批准1日期 \* MERGEFORMAT </w:instrTex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fldChar w:fldCharType="end"/>
      </w:r>
    </w:p>
    <w:p>
      <w:pPr>
        <w:spacing w:line="300" w:lineRule="auto"/>
        <w:ind w:firstLine="2960"/>
        <w:rPr>
          <w:rFonts w:ascii="Times New Roman" w:hAnsi="Times New Roman" w:cs="Times New Roman"/>
          <w:b/>
          <w:spacing w:val="20"/>
          <w:sz w:val="28"/>
          <w:szCs w:val="28"/>
        </w:rPr>
      </w:pPr>
    </w:p>
    <w:p>
      <w:pPr>
        <w:spacing w:line="300" w:lineRule="auto"/>
        <w:ind w:firstLine="2520"/>
        <w:rPr>
          <w:rFonts w:ascii="Times New Roman" w:hAnsi="Times New Roman" w:eastAsia="仿宋_GB2312" w:cs="Times New Roman"/>
          <w:sz w:val="28"/>
          <w:szCs w:val="28"/>
          <w:u w:val="single"/>
        </w:rPr>
      </w:pPr>
    </w:p>
    <w:p>
      <w:pPr>
        <w:spacing w:line="300" w:lineRule="auto"/>
        <w:ind w:firstLine="2520"/>
        <w:rPr>
          <w:rFonts w:ascii="Times New Roman" w:hAnsi="Times New Roman" w:eastAsia="仿宋_GB2312" w:cs="Times New Roman"/>
          <w:sz w:val="28"/>
          <w:szCs w:val="28"/>
          <w:u w:val="single"/>
        </w:rPr>
      </w:pPr>
    </w:p>
    <w:p>
      <w:pPr>
        <w:spacing w:line="300" w:lineRule="auto"/>
        <w:ind w:firstLine="2520"/>
        <w:rPr>
          <w:rFonts w:ascii="Times New Roman" w:hAnsi="Times New Roman" w:eastAsia="仿宋_GB2312" w:cs="Times New Roman"/>
          <w:sz w:val="28"/>
          <w:szCs w:val="28"/>
          <w:u w:val="single"/>
        </w:rPr>
      </w:pPr>
    </w:p>
    <w:p>
      <w:pPr>
        <w:tabs>
          <w:tab w:val="left" w:pos="8190"/>
        </w:tabs>
        <w:spacing w:line="300" w:lineRule="auto"/>
        <w:jc w:val="center"/>
        <w:rPr>
          <w:rFonts w:ascii="Times New Roman" w:hAnsi="Times New Roman" w:eastAsia="黑体" w:cs="Times New Roman"/>
          <w:sz w:val="28"/>
          <w:szCs w:val="28"/>
        </w:rPr>
      </w:pPr>
      <w:r>
        <w:rPr>
          <w:rFonts w:ascii="Times New Roman" w:hAnsi="Times New Roman" w:eastAsia="黑体" w:cs="Times New Roman"/>
          <w:b/>
          <w:bCs/>
          <w:sz w:val="28"/>
          <w:szCs w:val="28"/>
        </w:rPr>
        <w:t>北京铁科英迈技术有限公司</w:t>
      </w:r>
    </w:p>
    <w:p>
      <w:pPr>
        <w:jc w:val="center"/>
        <w:rPr>
          <w:rFonts w:ascii="Times New Roman" w:hAnsi="Times New Roman" w:eastAsia="黑体" w:cs="Times New Roman"/>
          <w:b/>
          <w:sz w:val="24"/>
          <w:szCs w:val="24"/>
        </w:rPr>
      </w:pPr>
      <w:r>
        <w:rPr>
          <w:rFonts w:ascii="Times New Roman" w:hAnsi="Times New Roman" w:eastAsia="黑体" w:cs="Times New Roman"/>
          <w:b/>
          <w:sz w:val="24"/>
          <w:szCs w:val="24"/>
        </w:rPr>
        <w:fldChar w:fldCharType="begin"/>
      </w:r>
      <w:r>
        <w:rPr>
          <w:rFonts w:ascii="Times New Roman" w:hAnsi="Times New Roman" w:eastAsia="黑体" w:cs="Times New Roman"/>
          <w:b/>
          <w:sz w:val="24"/>
          <w:szCs w:val="24"/>
        </w:rPr>
        <w:instrText xml:space="preserve"> DOCPROPERTY 批准1日期 \* MERGEFORMAT </w:instrText>
      </w:r>
      <w:r>
        <w:rPr>
          <w:rFonts w:ascii="Times New Roman" w:hAnsi="Times New Roman" w:eastAsia="黑体" w:cs="Times New Roman"/>
          <w:b/>
          <w:sz w:val="24"/>
          <w:szCs w:val="24"/>
        </w:rPr>
        <w:fldChar w:fldCharType="separate"/>
      </w:r>
      <w:r>
        <w:rPr>
          <w:rFonts w:ascii="Times New Roman" w:hAnsi="Times New Roman" w:eastAsia="黑体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黑体" w:cs="Times New Roman"/>
          <w:b/>
          <w:sz w:val="24"/>
          <w:szCs w:val="24"/>
        </w:rPr>
        <w:fldChar w:fldCharType="end"/>
      </w:r>
      <w:r>
        <w:rPr>
          <w:rFonts w:ascii="Times New Roman" w:hAnsi="Times New Roman" w:eastAsia="黑体" w:cs="Times New Roman"/>
          <w:b/>
          <w:sz w:val="24"/>
          <w:szCs w:val="24"/>
        </w:rPr>
        <w:t>发布</w:t>
      </w:r>
    </w:p>
    <w:p>
      <w:pPr>
        <w:jc w:val="center"/>
        <w:rPr>
          <w:rFonts w:ascii="Times New Roman" w:hAnsi="Times New Roman" w:cs="Times New Roman"/>
        </w:rPr>
        <w:sectPr>
          <w:headerReference r:id="rId5" w:type="default"/>
          <w:footerReference r:id="rId6" w:type="default"/>
          <w:footerReference r:id="rId7" w:type="even"/>
          <w:pgSz w:w="11907" w:h="16840"/>
          <w:pgMar w:top="1571" w:right="1191" w:bottom="1247" w:left="1191" w:header="851" w:footer="567" w:gutter="567"/>
          <w:cols w:space="720" w:num="1"/>
          <w:titlePg/>
          <w:docGrid w:linePitch="286" w:charSpace="535"/>
        </w:sect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32"/>
        </w:rPr>
      </w:pPr>
      <w:r>
        <w:rPr>
          <w:rFonts w:ascii="Times New Roman" w:hAnsi="Times New Roman" w:eastAsia="仿宋_GB2312" w:cs="Times New Roman"/>
          <w:b/>
          <w:bCs/>
          <w:sz w:val="32"/>
        </w:rPr>
        <w:t>变  更  记  录</w:t>
      </w:r>
    </w:p>
    <w:tbl>
      <w:tblPr>
        <w:tblStyle w:val="37"/>
        <w:tblW w:w="9137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3220"/>
        <w:gridCol w:w="1444"/>
        <w:gridCol w:w="1343"/>
        <w:gridCol w:w="1319"/>
        <w:gridCol w:w="116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647" w:type="dxa"/>
            <w:shd w:val="clear" w:color="auto" w:fill="D9D9D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序号</w:t>
            </w:r>
          </w:p>
        </w:tc>
        <w:tc>
          <w:tcPr>
            <w:tcW w:w="3220" w:type="dxa"/>
            <w:shd w:val="clear" w:color="auto" w:fill="D9D9D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修改内容</w:t>
            </w:r>
          </w:p>
        </w:tc>
        <w:tc>
          <w:tcPr>
            <w:tcW w:w="1444" w:type="dxa"/>
            <w:shd w:val="clear" w:color="auto" w:fill="D9D9D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修改/日期</w:t>
            </w:r>
          </w:p>
        </w:tc>
        <w:tc>
          <w:tcPr>
            <w:tcW w:w="1343" w:type="dxa"/>
            <w:shd w:val="clear" w:color="auto" w:fill="D9D9D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审核/日期</w:t>
            </w:r>
          </w:p>
        </w:tc>
        <w:tc>
          <w:tcPr>
            <w:tcW w:w="1319" w:type="dxa"/>
            <w:shd w:val="clear" w:color="auto" w:fill="D9D9D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批准/日期</w:t>
            </w:r>
          </w:p>
        </w:tc>
        <w:tc>
          <w:tcPr>
            <w:tcW w:w="1164" w:type="dxa"/>
            <w:shd w:val="clear" w:color="auto" w:fill="D9D9D9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实施日期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hint="eastAsia" w:ascii="Times New Roman" w:hAnsi="Times New Roman" w:eastAsia="仿宋_GB2312" w:cs="Times New Roman"/>
              </w:rPr>
              <w:t>1</w:t>
            </w: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eastAsia="仿宋_GB2312" w:cs="Times New Roman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szCs w:val="21"/>
              </w:rPr>
              <w:t>V1.0  新建技术需求书</w:t>
            </w: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Cs w:val="22"/>
              </w:rPr>
              <w:t>李洋/20</w:t>
            </w:r>
            <w:r>
              <w:rPr>
                <w:rFonts w:hint="eastAsia" w:ascii="Times New Roman" w:hAnsi="Times New Roman" w:eastAsia="仿宋_GB2312" w:cs="Times New Roman"/>
                <w:szCs w:val="22"/>
                <w:lang w:val="en-US" w:eastAsia="zh-CN"/>
              </w:rPr>
              <w:t>20</w:t>
            </w:r>
            <w:r>
              <w:rPr>
                <w:rFonts w:hint="eastAsia" w:ascii="Times New Roman" w:hAnsi="Times New Roman" w:eastAsia="仿宋_GB2312" w:cs="Times New Roman"/>
                <w:szCs w:val="22"/>
              </w:rPr>
              <w:t>.</w:t>
            </w:r>
            <w:r>
              <w:rPr>
                <w:rFonts w:hint="eastAsia" w:ascii="Times New Roman" w:hAnsi="Times New Roman" w:eastAsia="仿宋_GB2312" w:cs="Times New Roman"/>
                <w:szCs w:val="22"/>
                <w:lang w:val="en-US" w:eastAsia="zh-CN"/>
              </w:rPr>
              <w:t>06</w:t>
            </w:r>
            <w:r>
              <w:rPr>
                <w:rFonts w:hint="eastAsia" w:ascii="Times New Roman" w:hAnsi="Times New Roman" w:eastAsia="仿宋_GB2312" w:cs="Times New Roman"/>
                <w:szCs w:val="22"/>
              </w:rPr>
              <w:t>.</w:t>
            </w:r>
            <w:r>
              <w:rPr>
                <w:rFonts w:hint="eastAsia" w:ascii="Times New Roman" w:hAnsi="Times New Roman" w:eastAsia="仿宋_GB2312" w:cs="Times New Roman"/>
                <w:szCs w:val="22"/>
                <w:lang w:val="en-US" w:eastAsia="zh-CN"/>
              </w:rPr>
              <w:t>09</w:t>
            </w: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3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_GB2312" w:cs="Times New Roman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lang w:val="en-US" w:eastAsia="zh-CN"/>
              </w:rPr>
              <w:t>2</w:t>
            </w: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jc w:val="both"/>
              <w:rPr>
                <w:rFonts w:hint="eastAsia" w:ascii="Times New Roman" w:hAnsi="Times New Roman" w:eastAsia="仿宋_GB2312" w:cs="Times New Roman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Cs w:val="21"/>
              </w:rPr>
              <w:t>V1.</w:t>
            </w: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仿宋_GB2312" w:cs="Times New Roman"/>
                <w:szCs w:val="21"/>
                <w:lang w:val="en-US" w:eastAsia="zh-CN"/>
              </w:rPr>
              <w:t>更新模板，修改表3.1.1  激光光源采集模块技术规格参数</w:t>
            </w: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  <w:r>
              <w:rPr>
                <w:rFonts w:hint="eastAsia" w:ascii="Times New Roman" w:hAnsi="Times New Roman" w:eastAsia="仿宋_GB2312" w:cs="Times New Roman"/>
                <w:szCs w:val="22"/>
              </w:rPr>
              <w:t>李洋</w:t>
            </w:r>
            <w:r>
              <w:rPr>
                <w:rFonts w:hint="eastAsia" w:ascii="Times New Roman" w:hAnsi="Times New Roman" w:eastAsia="仿宋_GB2312" w:cs="Times New Roman"/>
                <w:szCs w:val="22"/>
                <w:lang w:val="en-US" w:eastAsia="zh-CN"/>
              </w:rPr>
              <w:t>、苟云涛</w:t>
            </w:r>
            <w:r>
              <w:rPr>
                <w:rFonts w:hint="eastAsia" w:ascii="Times New Roman" w:hAnsi="Times New Roman" w:eastAsia="仿宋_GB2312" w:cs="Times New Roman"/>
                <w:szCs w:val="22"/>
              </w:rPr>
              <w:t>/20</w:t>
            </w:r>
            <w:r>
              <w:rPr>
                <w:rFonts w:hint="eastAsia" w:ascii="Times New Roman" w:hAnsi="Times New Roman" w:eastAsia="仿宋_GB2312" w:cs="Times New Roman"/>
                <w:szCs w:val="22"/>
                <w:lang w:val="en-US" w:eastAsia="zh-CN"/>
              </w:rPr>
              <w:t>23</w:t>
            </w:r>
            <w:r>
              <w:rPr>
                <w:rFonts w:hint="eastAsia" w:ascii="Times New Roman" w:hAnsi="Times New Roman" w:eastAsia="仿宋_GB2312" w:cs="Times New Roman"/>
                <w:szCs w:val="22"/>
              </w:rPr>
              <w:t>.</w:t>
            </w:r>
            <w:r>
              <w:rPr>
                <w:rFonts w:hint="eastAsia" w:ascii="Times New Roman" w:hAnsi="Times New Roman" w:eastAsia="仿宋_GB2312" w:cs="Times New Roman"/>
                <w:szCs w:val="22"/>
                <w:lang w:val="en-US" w:eastAsia="zh-CN"/>
              </w:rPr>
              <w:t>10</w:t>
            </w:r>
            <w:r>
              <w:rPr>
                <w:rFonts w:hint="eastAsia" w:ascii="Times New Roman" w:hAnsi="Times New Roman" w:eastAsia="仿宋_GB2312" w:cs="Times New Roman"/>
                <w:szCs w:val="22"/>
              </w:rPr>
              <w:t>.</w:t>
            </w:r>
            <w:r>
              <w:rPr>
                <w:rFonts w:hint="eastAsia" w:ascii="Times New Roman" w:hAnsi="Times New Roman" w:eastAsia="仿宋_GB2312" w:cs="Times New Roman"/>
                <w:szCs w:val="22"/>
                <w:lang w:val="en-US" w:eastAsia="zh-CN"/>
              </w:rPr>
              <w:t>18</w:t>
            </w: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Times New Roman" w:hAnsi="Times New Roman" w:eastAsia="仿宋_GB2312" w:cs="Times New Roman"/>
                <w:lang w:val="en-US" w:eastAsia="zh-C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hint="eastAsia" w:ascii="Times New Roman" w:hAnsi="Times New Roman" w:eastAsia="仿宋_GB2312" w:cs="Times New Roman"/>
                <w:lang w:val="en-US" w:eastAsia="zh-C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eastAsia="仿宋_GB2312" w:cs="Times New Roman"/>
                <w:szCs w:val="22"/>
                <w:lang w:val="en-US" w:eastAsia="zh-CN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  <w:jc w:val="center"/>
        </w:trPr>
        <w:tc>
          <w:tcPr>
            <w:tcW w:w="647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3220" w:type="dxa"/>
            <w:vAlign w:val="center"/>
          </w:tcPr>
          <w:p>
            <w:pPr>
              <w:spacing w:line="240" w:lineRule="auto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44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43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319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  <w:tc>
          <w:tcPr>
            <w:tcW w:w="1164" w:type="dxa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eastAsia="仿宋_GB2312" w:cs="Times New Roman"/>
                <w:szCs w:val="22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ascii="Times New Roman" w:hAnsi="Times New Roman" w:eastAsia="仿宋" w:cs="Times New Roman"/>
        </w:rPr>
        <w:t>注：对该文件内容增加、删除或修改均需填写变更记录，详细记载变更信息，以保证其可追溯性。</w:t>
      </w:r>
    </w:p>
    <w:p>
      <w:pPr>
        <w:rPr>
          <w:rFonts w:ascii="Times New Roman" w:hAnsi="Times New Roman" w:cs="Times New Roman"/>
        </w:rPr>
        <w:sectPr>
          <w:footerReference r:id="rId8" w:type="default"/>
          <w:pgSz w:w="11907" w:h="16840"/>
          <w:pgMar w:top="1571" w:right="1191" w:bottom="1247" w:left="1191" w:header="851" w:footer="567" w:gutter="567"/>
          <w:pgNumType w:fmt="upperRoman" w:start="1"/>
          <w:cols w:space="720" w:num="1"/>
          <w:docGrid w:linePitch="286" w:charSpace="535"/>
        </w:sectPr>
      </w:pPr>
    </w:p>
    <w:p>
      <w:pPr>
        <w:jc w:val="center"/>
        <w:rPr>
          <w:rFonts w:ascii="Times New Roman" w:hAnsi="Times New Roman" w:eastAsia="宋体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目    录</w:t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b w:val="0"/>
          <w:szCs w:val="21"/>
        </w:rPr>
        <w:fldChar w:fldCharType="begin"/>
      </w:r>
      <w:r>
        <w:rPr>
          <w:rFonts w:ascii="Times New Roman" w:hAnsi="Times New Roman" w:eastAsia="仿宋" w:cs="Times New Roman"/>
          <w:b w:val="0"/>
          <w:szCs w:val="21"/>
        </w:rPr>
        <w:instrText xml:space="preserve">TOC \o "1-9" \h \u </w:instrText>
      </w:r>
      <w:r>
        <w:rPr>
          <w:rFonts w:ascii="Times New Roman" w:hAnsi="Times New Roman" w:eastAsia="仿宋" w:cs="Times New Roman"/>
          <w:b w:val="0"/>
          <w:szCs w:val="21"/>
        </w:rPr>
        <w:fldChar w:fldCharType="separate"/>
      </w: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_Toc1106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1. 产品简介</w:t>
      </w:r>
      <w:r>
        <w:tab/>
      </w:r>
      <w:r>
        <w:fldChar w:fldCharType="begin"/>
      </w:r>
      <w:r>
        <w:instrText xml:space="preserve"> PAGEREF _Toc1106 \h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_Toc3778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2. 组成清单</w:t>
      </w:r>
      <w:r>
        <w:tab/>
      </w:r>
      <w:r>
        <w:fldChar w:fldCharType="begin"/>
      </w:r>
      <w:r>
        <w:instrText xml:space="preserve"> PAGEREF _Toc3778 \h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_Toc5833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3. 技术要求</w:t>
      </w:r>
      <w:r>
        <w:tab/>
      </w:r>
      <w:r>
        <w:fldChar w:fldCharType="begin"/>
      </w:r>
      <w:r>
        <w:instrText xml:space="preserve"> PAGEREF _Toc5833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32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_Toc22054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bCs w:val="0"/>
          <w:szCs w:val="24"/>
        </w:rPr>
        <w:t>3.1 机械加工</w:t>
      </w:r>
      <w:r>
        <w:tab/>
      </w:r>
      <w:r>
        <w:fldChar w:fldCharType="begin"/>
      </w:r>
      <w:r>
        <w:instrText xml:space="preserve"> PAGEREF _Toc22054 \h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32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_Toc26984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bCs w:val="0"/>
          <w:szCs w:val="24"/>
        </w:rPr>
        <w:t>3.2 器件布局</w:t>
      </w:r>
      <w:r>
        <w:tab/>
      </w:r>
      <w:r>
        <w:fldChar w:fldCharType="begin"/>
      </w:r>
      <w:r>
        <w:instrText xml:space="preserve"> PAGEREF _Toc26984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32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_Toc29829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bCs w:val="0"/>
          <w:szCs w:val="24"/>
        </w:rPr>
        <w:t>3.3 电气要求</w:t>
      </w:r>
      <w:r>
        <w:tab/>
      </w:r>
      <w:r>
        <w:fldChar w:fldCharType="begin"/>
      </w:r>
      <w:r>
        <w:instrText xml:space="preserve"> PAGEREF _Toc29829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32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_Toc6577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bCs w:val="0"/>
          <w:szCs w:val="24"/>
        </w:rPr>
        <w:t>3.4 组装要求</w:t>
      </w:r>
      <w:r>
        <w:tab/>
      </w:r>
      <w:r>
        <w:fldChar w:fldCharType="begin"/>
      </w:r>
      <w:r>
        <w:instrText xml:space="preserve"> PAGEREF _Toc6577 \h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32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_Toc22285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bCs w:val="0"/>
          <w:szCs w:val="24"/>
        </w:rPr>
        <w:t>3.5 接口要求</w:t>
      </w:r>
      <w:r>
        <w:tab/>
      </w:r>
      <w:r>
        <w:fldChar w:fldCharType="begin"/>
      </w:r>
      <w:r>
        <w:instrText xml:space="preserve"> PAGEREF _Toc22285 \h </w:instrText>
      </w:r>
      <w:r>
        <w:fldChar w:fldCharType="separate"/>
      </w:r>
      <w:r>
        <w:t>5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_Toc22282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4. 其他要求</w:t>
      </w:r>
      <w:r>
        <w:tab/>
      </w:r>
      <w:r>
        <w:fldChar w:fldCharType="begin"/>
      </w:r>
      <w:r>
        <w:instrText xml:space="preserve"> PAGEREF _Toc22282 \h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_Toc13012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5. 不合格控制要求</w:t>
      </w:r>
      <w:r>
        <w:tab/>
      </w:r>
      <w:r>
        <w:fldChar w:fldCharType="begin"/>
      </w:r>
      <w:r>
        <w:instrText xml:space="preserve"> PAGEREF _Toc13012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_Toc16488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6. 技术文件清单控制</w:t>
      </w:r>
      <w:r>
        <w:tab/>
      </w:r>
      <w:r>
        <w:fldChar w:fldCharType="begin"/>
      </w:r>
      <w:r>
        <w:instrText xml:space="preserve"> PAGEREF _Toc16488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_Toc22597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7. 变更控制</w:t>
      </w:r>
      <w:r>
        <w:tab/>
      </w:r>
      <w:r>
        <w:fldChar w:fldCharType="begin"/>
      </w:r>
      <w:r>
        <w:instrText xml:space="preserve"> PAGEREF _Toc22597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_Toc9360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8. 老化管理</w:t>
      </w:r>
      <w:r>
        <w:tab/>
      </w:r>
      <w:r>
        <w:fldChar w:fldCharType="begin"/>
      </w:r>
      <w:r>
        <w:instrText xml:space="preserve"> PAGEREF _Toc9360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_Toc17142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9. 标识和可追溯性管理</w:t>
      </w:r>
      <w:r>
        <w:tab/>
      </w:r>
      <w:r>
        <w:fldChar w:fldCharType="begin"/>
      </w:r>
      <w:r>
        <w:instrText xml:space="preserve"> PAGEREF _Toc17142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_Toc24864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10. 产品防护要求</w:t>
      </w:r>
      <w:r>
        <w:tab/>
      </w:r>
      <w:r>
        <w:fldChar w:fldCharType="begin"/>
      </w:r>
      <w:r>
        <w:instrText xml:space="preserve"> PAGEREF _Toc24864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32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_Toc20737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bCs w:val="0"/>
          <w:szCs w:val="24"/>
        </w:rPr>
        <w:t>10.1 生产过程中的防护要求</w:t>
      </w:r>
      <w:r>
        <w:tab/>
      </w:r>
      <w:r>
        <w:fldChar w:fldCharType="begin"/>
      </w:r>
      <w:r>
        <w:instrText xml:space="preserve"> PAGEREF _Toc20737 \h </w:instrText>
      </w:r>
      <w:r>
        <w:fldChar w:fldCharType="separate"/>
      </w:r>
      <w:r>
        <w:t>8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32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_Toc16113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bCs w:val="0"/>
          <w:szCs w:val="24"/>
        </w:rPr>
        <w:t>10.2 包装和运输要求</w:t>
      </w:r>
      <w:r>
        <w:tab/>
      </w:r>
      <w:r>
        <w:fldChar w:fldCharType="begin"/>
      </w:r>
      <w:r>
        <w:instrText xml:space="preserve"> PAGEREF _Toc16113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pStyle w:val="26"/>
        <w:tabs>
          <w:tab w:val="right" w:leader="dot" w:pos="8958"/>
        </w:tabs>
      </w:pPr>
      <w:r>
        <w:rPr>
          <w:rFonts w:ascii="Times New Roman" w:hAnsi="Times New Roman" w:eastAsia="仿宋" w:cs="Times New Roman"/>
          <w:szCs w:val="21"/>
        </w:rPr>
        <w:fldChar w:fldCharType="begin"/>
      </w:r>
      <w:r>
        <w:rPr>
          <w:rFonts w:ascii="Times New Roman" w:hAnsi="Times New Roman" w:eastAsia="仿宋" w:cs="Times New Roman"/>
          <w:szCs w:val="21"/>
        </w:rPr>
        <w:instrText xml:space="preserve"> HYPERLINK \l _Toc9818 </w:instrText>
      </w:r>
      <w:r>
        <w:rPr>
          <w:rFonts w:ascii="Times New Roman" w:hAnsi="Times New Roman" w:eastAsia="仿宋" w:cs="Times New Roman"/>
          <w:szCs w:val="21"/>
        </w:rPr>
        <w:fldChar w:fldCharType="separate"/>
      </w:r>
      <w:r>
        <w:rPr>
          <w:rFonts w:hint="eastAsia"/>
          <w:szCs w:val="28"/>
        </w:rPr>
        <w:t>11. 主要风险及管控措施</w:t>
      </w:r>
      <w:r>
        <w:tab/>
      </w:r>
      <w:r>
        <w:fldChar w:fldCharType="begin"/>
      </w:r>
      <w:r>
        <w:instrText xml:space="preserve"> PAGEREF _Toc9818 \h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spacing w:line="240" w:lineRule="auto"/>
        <w:rPr>
          <w:rFonts w:ascii="Times New Roman" w:hAnsi="Times New Roman" w:eastAsia="仿宋" w:cs="Times New Roman"/>
        </w:rPr>
      </w:pPr>
      <w:r>
        <w:rPr>
          <w:rFonts w:ascii="Times New Roman" w:hAnsi="Times New Roman" w:eastAsia="仿宋" w:cs="Times New Roman"/>
          <w:szCs w:val="21"/>
        </w:rPr>
        <w:fldChar w:fldCharType="end"/>
      </w:r>
    </w:p>
    <w:p>
      <w:pPr>
        <w:spacing w:line="240" w:lineRule="auto"/>
        <w:rPr>
          <w:rFonts w:ascii="Times New Roman" w:hAnsi="Times New Roman" w:eastAsia="仿宋" w:cs="Times New Roman"/>
        </w:rPr>
      </w:pPr>
    </w:p>
    <w:p>
      <w:pPr>
        <w:spacing w:line="240" w:lineRule="auto"/>
        <w:rPr>
          <w:rFonts w:ascii="Times New Roman" w:hAnsi="Times New Roman" w:eastAsia="仿宋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footerReference r:id="rId9" w:type="default"/>
          <w:pgSz w:w="11907" w:h="16840"/>
          <w:pgMar w:top="1571" w:right="1191" w:bottom="1247" w:left="1191" w:header="851" w:footer="567" w:gutter="567"/>
          <w:pgNumType w:fmt="upperRoman"/>
          <w:cols w:space="720" w:num="1"/>
          <w:docGrid w:linePitch="286" w:charSpace="535"/>
        </w:sectPr>
      </w:pPr>
    </w:p>
    <w:p>
      <w:pPr>
        <w:pStyle w:val="2"/>
        <w:ind w:left="432" w:hanging="432"/>
        <w:rPr>
          <w:sz w:val="28"/>
          <w:szCs w:val="28"/>
        </w:rPr>
      </w:pPr>
      <w:bookmarkStart w:id="0" w:name="_Toc19971"/>
      <w:bookmarkStart w:id="1" w:name="_Toc1106"/>
      <w:r>
        <w:rPr>
          <w:rFonts w:hint="eastAsia"/>
          <w:sz w:val="28"/>
          <w:szCs w:val="28"/>
        </w:rPr>
        <w:t>产品简介</w:t>
      </w:r>
      <w:bookmarkEnd w:id="0"/>
      <w:bookmarkEnd w:id="1"/>
    </w:p>
    <w:p>
      <w:pPr>
        <w:ind w:firstLine="480" w:firstLineChars="200"/>
        <w:rPr>
          <w:color w:val="FF0000"/>
        </w:rPr>
      </w:pPr>
      <w:r>
        <w:rPr>
          <w:rFonts w:hint="eastAsia" w:ascii="宋体" w:hAnsi="宋体"/>
          <w:sz w:val="24"/>
        </w:rPr>
        <w:t>激光光源采集模块</w:t>
      </w:r>
      <w:r>
        <w:rPr>
          <w:rFonts w:hint="eastAsia" w:ascii="宋体" w:hAnsi="宋体"/>
          <w:sz w:val="24"/>
          <w:lang w:eastAsia="zh-CN"/>
        </w:rPr>
        <w:t>（GX3-LSM-04KGM-01）</w:t>
      </w:r>
      <w:r>
        <w:rPr>
          <w:rFonts w:hint="eastAsia" w:ascii="宋体" w:hAnsi="宋体"/>
          <w:sz w:val="24"/>
        </w:rPr>
        <w:t>由红外激光光源模块与高清线性扫描摄像模块组成。该产品同时具有结构稳固、使用便捷、美观大方、环境适应性强等特点，符合铁路相关技术规范和标准</w:t>
      </w:r>
      <w:r>
        <w:rPr>
          <w:rFonts w:hint="eastAsia" w:ascii="宋体" w:hAnsi="宋体"/>
        </w:rPr>
        <w:t>。</w:t>
      </w:r>
    </w:p>
    <w:p>
      <w:pPr>
        <w:jc w:val="center"/>
        <w:rPr>
          <w:sz w:val="18"/>
          <w:szCs w:val="18"/>
        </w:rPr>
      </w:pPr>
      <w:r>
        <w:drawing>
          <wp:inline distT="0" distB="0" distL="114300" distR="114300">
            <wp:extent cx="4745355" cy="3199765"/>
            <wp:effectExtent l="0" t="0" r="9525" b="6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Theme="minorEastAsia"/>
          <w:color w:val="FF0000"/>
          <w:szCs w:val="21"/>
          <w:lang w:val="en-US" w:eastAsia="zh-CN"/>
        </w:rPr>
      </w:pPr>
      <w:r>
        <w:rPr>
          <w:rFonts w:hint="eastAsia" w:hAnsi="宋体"/>
          <w:szCs w:val="21"/>
        </w:rPr>
        <w:t>图1.1.1  激光光源采集模块外观</w:t>
      </w:r>
      <w:r>
        <w:rPr>
          <w:rFonts w:hint="eastAsia" w:hAnsi="宋体"/>
          <w:szCs w:val="21"/>
          <w:lang w:val="en-US" w:eastAsia="zh-CN"/>
        </w:rPr>
        <w:t>示意图</w:t>
      </w:r>
    </w:p>
    <w:p>
      <w:pPr>
        <w:spacing w:line="0" w:lineRule="atLeast"/>
        <w:rPr>
          <w:rFonts w:ascii="宋体" w:hAnsi="宋体"/>
          <w:color w:val="FF0000"/>
          <w:szCs w:val="22"/>
        </w:rPr>
      </w:pPr>
    </w:p>
    <w:p>
      <w:pPr>
        <w:pStyle w:val="2"/>
        <w:ind w:left="432" w:hanging="432"/>
        <w:rPr>
          <w:sz w:val="28"/>
          <w:szCs w:val="28"/>
        </w:rPr>
      </w:pPr>
      <w:bookmarkStart w:id="2" w:name="_Toc8556"/>
      <w:bookmarkStart w:id="3" w:name="_Toc7877"/>
      <w:bookmarkStart w:id="4" w:name="_Toc3778"/>
      <w:r>
        <w:rPr>
          <w:rFonts w:hint="eastAsia"/>
          <w:sz w:val="28"/>
          <w:szCs w:val="28"/>
        </w:rPr>
        <w:t>组成清单</w:t>
      </w:r>
      <w:bookmarkEnd w:id="2"/>
      <w:bookmarkEnd w:id="3"/>
      <w:bookmarkEnd w:id="4"/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激光光源采集模块所含子件清单如表2.1.1所示，模块配件清单如表2.1.2所示。</w:t>
      </w:r>
    </w:p>
    <w:p>
      <w:pPr>
        <w:jc w:val="center"/>
        <w:rPr>
          <w:rFonts w:hAnsi="宋体" w:eastAsia="宋体"/>
          <w:szCs w:val="21"/>
        </w:rPr>
      </w:pPr>
      <w:r>
        <w:rPr>
          <w:rFonts w:hAnsi="宋体"/>
          <w:szCs w:val="21"/>
        </w:rPr>
        <w:t>表</w:t>
      </w:r>
      <w:r>
        <w:rPr>
          <w:rFonts w:hint="eastAsia" w:hAnsi="宋体"/>
          <w:szCs w:val="21"/>
        </w:rPr>
        <w:t>2.1.1  激光光源采集模块子件清单</w:t>
      </w:r>
    </w:p>
    <w:tbl>
      <w:tblPr>
        <w:tblStyle w:val="37"/>
        <w:tblW w:w="4997" w:type="pct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645"/>
        <w:gridCol w:w="1093"/>
        <w:gridCol w:w="900"/>
        <w:gridCol w:w="1993"/>
        <w:gridCol w:w="720"/>
        <w:gridCol w:w="600"/>
        <w:gridCol w:w="640"/>
        <w:gridCol w:w="2476"/>
      </w:tblGrid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82" w:hRule="atLeast"/>
          <w:jc w:val="center"/>
        </w:trPr>
        <w:tc>
          <w:tcPr>
            <w:tcW w:w="355" w:type="pc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602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一级子件</w:t>
            </w:r>
          </w:p>
        </w:tc>
        <w:tc>
          <w:tcPr>
            <w:tcW w:w="496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品牌</w:t>
            </w:r>
          </w:p>
        </w:tc>
        <w:tc>
          <w:tcPr>
            <w:tcW w:w="1099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</w:tc>
        <w:tc>
          <w:tcPr>
            <w:tcW w:w="397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规格</w:t>
            </w:r>
          </w:p>
        </w:tc>
        <w:tc>
          <w:tcPr>
            <w:tcW w:w="330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数量</w:t>
            </w:r>
          </w:p>
        </w:tc>
        <w:tc>
          <w:tcPr>
            <w:tcW w:w="352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单位</w:t>
            </w:r>
          </w:p>
        </w:tc>
        <w:tc>
          <w:tcPr>
            <w:tcW w:w="1365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3" w:hRule="atLeast"/>
          <w:jc w:val="center"/>
        </w:trPr>
        <w:tc>
          <w:tcPr>
            <w:tcW w:w="35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激光光源采集模块</w:t>
            </w:r>
          </w:p>
        </w:tc>
        <w:tc>
          <w:tcPr>
            <w:tcW w:w="4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定制</w:t>
            </w:r>
          </w:p>
        </w:tc>
        <w:tc>
          <w:tcPr>
            <w:tcW w:w="10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GX3-LSM-04KGM-01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  <w:tc>
          <w:tcPr>
            <w:tcW w:w="330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352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套</w:t>
            </w:r>
          </w:p>
        </w:tc>
        <w:tc>
          <w:tcPr>
            <w:tcW w:w="1365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40" w:lineRule="auto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根据安装拍摄位置不同分为A/B/C/D</w:t>
            </w:r>
            <w:r>
              <w:rPr>
                <w:rFonts w:hint="eastAsia"/>
                <w:szCs w:val="21"/>
                <w:lang w:val="en-US" w:eastAsia="zh-CN"/>
              </w:rPr>
              <w:t>四</w:t>
            </w:r>
            <w:r>
              <w:rPr>
                <w:rFonts w:hint="eastAsia"/>
                <w:szCs w:val="21"/>
              </w:rPr>
              <w:t>种类型，详见激光光源采集模块技术规格参数表</w:t>
            </w:r>
            <w:r>
              <w:rPr>
                <w:rFonts w:hint="eastAsia"/>
                <w:szCs w:val="21"/>
                <w:lang w:eastAsia="zh-CN"/>
              </w:rPr>
              <w:t>。</w:t>
            </w:r>
          </w:p>
        </w:tc>
      </w:tr>
    </w:tbl>
    <w:p>
      <w:pPr>
        <w:spacing w:line="0" w:lineRule="atLeast"/>
        <w:rPr>
          <w:rFonts w:ascii="宋体" w:hAnsi="宋体"/>
          <w:color w:val="FF0000"/>
          <w:szCs w:val="22"/>
        </w:rPr>
      </w:pPr>
    </w:p>
    <w:p>
      <w:pPr>
        <w:jc w:val="center"/>
        <w:rPr>
          <w:rFonts w:hAnsi="宋体" w:eastAsia="宋体"/>
          <w:szCs w:val="21"/>
        </w:rPr>
      </w:pPr>
      <w:r>
        <w:rPr>
          <w:rFonts w:hint="eastAsia" w:hAnsi="宋体"/>
          <w:szCs w:val="21"/>
        </w:rPr>
        <w:t>表2.1.2  激光光源采集模块配件清单</w:t>
      </w:r>
    </w:p>
    <w:tbl>
      <w:tblPr>
        <w:tblStyle w:val="37"/>
        <w:tblW w:w="4997" w:type="pct"/>
        <w:jc w:val="center"/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643"/>
        <w:gridCol w:w="1310"/>
        <w:gridCol w:w="677"/>
        <w:gridCol w:w="1077"/>
        <w:gridCol w:w="1632"/>
        <w:gridCol w:w="618"/>
        <w:gridCol w:w="653"/>
        <w:gridCol w:w="2457"/>
      </w:tblGrid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82" w:hRule="atLeast"/>
          <w:jc w:val="center"/>
        </w:trPr>
        <w:tc>
          <w:tcPr>
            <w:tcW w:w="354" w:type="pct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721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373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品牌</w:t>
            </w:r>
          </w:p>
        </w:tc>
        <w:tc>
          <w:tcPr>
            <w:tcW w:w="593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</w:tc>
        <w:tc>
          <w:tcPr>
            <w:tcW w:w="899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规格</w:t>
            </w:r>
          </w:p>
        </w:tc>
        <w:tc>
          <w:tcPr>
            <w:tcW w:w="341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数量</w:t>
            </w:r>
          </w:p>
        </w:tc>
        <w:tc>
          <w:tcPr>
            <w:tcW w:w="360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单位</w:t>
            </w:r>
          </w:p>
        </w:tc>
        <w:tc>
          <w:tcPr>
            <w:tcW w:w="1354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63" w:hRule="atLeast"/>
          <w:jc w:val="center"/>
        </w:trPr>
        <w:tc>
          <w:tcPr>
            <w:tcW w:w="354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1</w:t>
            </w:r>
          </w:p>
        </w:tc>
        <w:tc>
          <w:tcPr>
            <w:tcW w:w="72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hint="eastAsia" w:ascii="Arial" w:hAnsi="Arial" w:cs="Arial"/>
                <w:color w:val="000000"/>
                <w:szCs w:val="21"/>
              </w:rPr>
              <w:t>数据电源线</w:t>
            </w:r>
          </w:p>
        </w:tc>
        <w:tc>
          <w:tcPr>
            <w:tcW w:w="3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eastAsia="宋体"/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</w:p>
        </w:tc>
        <w:tc>
          <w:tcPr>
            <w:tcW w:w="59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V-3259</w:t>
            </w:r>
          </w:p>
        </w:tc>
        <w:tc>
          <w:tcPr>
            <w:tcW w:w="8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240" w:lineRule="auto"/>
              <w:jc w:val="center"/>
              <w:textAlignment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4Px23AWG+3C24AWG+1P16AWG（XL-PE）</w:t>
            </w:r>
          </w:p>
        </w:tc>
        <w:tc>
          <w:tcPr>
            <w:tcW w:w="3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3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根</w:t>
            </w:r>
          </w:p>
        </w:tc>
        <w:tc>
          <w:tcPr>
            <w:tcW w:w="135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both"/>
              <w:rPr>
                <w:szCs w:val="21"/>
              </w:rPr>
            </w:pPr>
            <w:r>
              <w:rPr>
                <w:rFonts w:hint="eastAsia"/>
                <w:szCs w:val="21"/>
              </w:rPr>
              <w:t>设备自带配线：25米/根，带Harting插头，1套激光光源采集模块配备1根，材质：低烟、无卤。</w:t>
            </w:r>
          </w:p>
        </w:tc>
      </w:tr>
    </w:tbl>
    <w:p>
      <w:pPr>
        <w:rPr>
          <w:rFonts w:ascii="宋体" w:hAnsi="宋体"/>
          <w:color w:val="FF0000"/>
        </w:rPr>
      </w:pPr>
    </w:p>
    <w:p>
      <w:pPr>
        <w:pStyle w:val="2"/>
        <w:ind w:left="432" w:hanging="432"/>
        <w:rPr>
          <w:sz w:val="28"/>
          <w:szCs w:val="28"/>
        </w:rPr>
      </w:pPr>
      <w:bookmarkStart w:id="5" w:name="_Toc3223"/>
      <w:bookmarkStart w:id="6" w:name="_Toc27067"/>
      <w:bookmarkStart w:id="7" w:name="_Toc5833"/>
      <w:r>
        <w:rPr>
          <w:rFonts w:hint="eastAsia"/>
          <w:sz w:val="28"/>
          <w:szCs w:val="28"/>
        </w:rPr>
        <w:t>技术要求</w:t>
      </w:r>
      <w:bookmarkEnd w:id="5"/>
      <w:bookmarkEnd w:id="6"/>
      <w:bookmarkEnd w:id="7"/>
    </w:p>
    <w:p>
      <w:pPr>
        <w:pStyle w:val="3"/>
        <w:ind w:left="575" w:hanging="575"/>
        <w:rPr>
          <w:b/>
          <w:bCs w:val="0"/>
          <w:szCs w:val="24"/>
        </w:rPr>
      </w:pPr>
      <w:bookmarkStart w:id="8" w:name="_Toc29776"/>
      <w:bookmarkStart w:id="9" w:name="_Toc22054"/>
      <w:r>
        <w:rPr>
          <w:rFonts w:hint="eastAsia"/>
          <w:b/>
          <w:bCs w:val="0"/>
          <w:szCs w:val="24"/>
        </w:rPr>
        <w:t>机械加工</w:t>
      </w:r>
      <w:bookmarkEnd w:id="8"/>
      <w:bookmarkEnd w:id="9"/>
    </w:p>
    <w:p>
      <w:pPr>
        <w:ind w:firstLine="482" w:firstLineChars="200"/>
        <w:rPr>
          <w:b/>
          <w:bCs/>
          <w:sz w:val="24"/>
          <w:szCs w:val="24"/>
        </w:rPr>
      </w:pPr>
      <w:bookmarkStart w:id="10" w:name="_Toc14740"/>
      <w:bookmarkStart w:id="11" w:name="_Toc29994"/>
      <w:r>
        <w:rPr>
          <w:rFonts w:hint="eastAsia"/>
          <w:b/>
          <w:bCs/>
          <w:sz w:val="24"/>
          <w:szCs w:val="24"/>
        </w:rPr>
        <w:t>外形尺寸</w:t>
      </w:r>
      <w:bookmarkEnd w:id="10"/>
      <w:bookmarkEnd w:id="11"/>
    </w:p>
    <w:p>
      <w:pPr>
        <w:jc w:val="center"/>
        <w:rPr>
          <w:sz w:val="24"/>
          <w:szCs w:val="24"/>
        </w:rPr>
      </w:pPr>
      <w:r>
        <w:rPr>
          <w:rFonts w:hint="eastAsia" w:ascii="Arial" w:hAnsi="Arial" w:eastAsia="宋体" w:cs="Arial"/>
          <w:szCs w:val="21"/>
          <w:lang w:eastAsia="zh-CN"/>
        </w:rPr>
        <w:drawing>
          <wp:inline distT="0" distB="0" distL="114300" distR="114300">
            <wp:extent cx="3618230" cy="3421380"/>
            <wp:effectExtent l="0" t="0" r="1270" b="7620"/>
            <wp:docPr id="1" name="图片 1" descr="激光光源采集模块机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激光光源采集模块机械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  <w:r>
        <w:rPr>
          <w:szCs w:val="21"/>
        </w:rPr>
        <w:t>图3</w:t>
      </w:r>
      <w:r>
        <w:rPr>
          <w:rFonts w:hint="eastAsia"/>
          <w:szCs w:val="21"/>
        </w:rPr>
        <w:t>.1.1  激光光源采集模块</w:t>
      </w:r>
      <w:r>
        <w:rPr>
          <w:szCs w:val="21"/>
        </w:rPr>
        <w:t>外形尺寸</w:t>
      </w:r>
      <w:r>
        <w:rPr>
          <w:rFonts w:hint="eastAsia"/>
          <w:szCs w:val="21"/>
        </w:rPr>
        <w:t>图</w:t>
      </w:r>
      <w:bookmarkStart w:id="12" w:name="_Toc13977"/>
      <w:bookmarkStart w:id="13" w:name="_Toc28543"/>
    </w:p>
    <w:p>
      <w:pPr>
        <w:ind w:firstLine="482" w:firstLineChars="20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开孔布局</w:t>
      </w:r>
      <w:bookmarkEnd w:id="12"/>
      <w:bookmarkEnd w:id="13"/>
    </w:p>
    <w:p>
      <w:pPr>
        <w:jc w:val="center"/>
      </w:pPr>
      <w:r>
        <w:rPr>
          <w:rFonts w:hint="eastAsia" w:ascii="Arial" w:hAnsi="Arial" w:eastAsia="宋体" w:cs="Arial"/>
          <w:szCs w:val="21"/>
          <w:lang w:eastAsia="zh-CN"/>
        </w:rPr>
        <w:drawing>
          <wp:inline distT="0" distB="0" distL="114300" distR="114300">
            <wp:extent cx="3618230" cy="3421380"/>
            <wp:effectExtent l="0" t="0" r="1270" b="7620"/>
            <wp:docPr id="4" name="图片 4" descr="激光光源采集模块机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激光光源采集模块机械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图3.1.2  激光光源采集模块开孔布局图</w:t>
      </w:r>
    </w:p>
    <w:p>
      <w:pPr>
        <w:ind w:firstLine="482" w:firstLineChars="200"/>
        <w:rPr>
          <w:b/>
          <w:bCs/>
          <w:sz w:val="24"/>
          <w:szCs w:val="24"/>
        </w:rPr>
      </w:pPr>
      <w:bookmarkStart w:id="14" w:name="_Toc23304"/>
      <w:r>
        <w:rPr>
          <w:rFonts w:hint="eastAsia"/>
          <w:b/>
          <w:bCs/>
          <w:sz w:val="24"/>
          <w:szCs w:val="24"/>
        </w:rPr>
        <w:t>加工技术要求</w:t>
      </w:r>
      <w:bookmarkEnd w:id="14"/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激光光源采集模块技术规格参数如下表3.1.1。</w:t>
      </w:r>
    </w:p>
    <w:p>
      <w:pPr>
        <w:jc w:val="center"/>
        <w:rPr>
          <w:szCs w:val="21"/>
        </w:rPr>
      </w:pPr>
      <w:r>
        <w:rPr>
          <w:rFonts w:hint="eastAsia" w:ascii="宋体" w:cs="宋体"/>
          <w:color w:val="000000"/>
        </w:rPr>
        <w:t>表</w:t>
      </w:r>
      <w:r>
        <w:rPr>
          <w:rFonts w:hint="eastAsia"/>
          <w:szCs w:val="21"/>
        </w:rPr>
        <w:t>3.1.1  激光光源采集模块技术规格参数表</w:t>
      </w:r>
    </w:p>
    <w:tbl>
      <w:tblPr>
        <w:tblStyle w:val="37"/>
        <w:tblpPr w:leftFromText="181" w:rightFromText="181" w:vertAnchor="text" w:horzAnchor="margin" w:tblpY="1"/>
        <w:tblW w:w="9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1830"/>
        <w:gridCol w:w="1650"/>
        <w:gridCol w:w="1680"/>
        <w:gridCol w:w="1725"/>
        <w:gridCol w:w="16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174" w:type="dxa"/>
            <w:gridSpan w:val="6"/>
            <w:shd w:val="clear" w:color="auto" w:fill="8EAADB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激光光源采集模块规格参数表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模块</w:t>
            </w: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类型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A型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szCs w:val="21"/>
              </w:rPr>
              <w:t>B</w:t>
            </w:r>
            <w:r>
              <w:rPr>
                <w:rFonts w:ascii="Arial" w:hAnsi="Arial" w:cs="Arial"/>
                <w:szCs w:val="21"/>
              </w:rPr>
              <w:t>型</w:t>
            </w:r>
          </w:p>
        </w:tc>
        <w:tc>
          <w:tcPr>
            <w:tcW w:w="17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szCs w:val="21"/>
              </w:rPr>
              <w:t>C</w:t>
            </w:r>
            <w:r>
              <w:rPr>
                <w:rFonts w:ascii="Arial" w:hAnsi="Arial" w:cs="Arial"/>
                <w:szCs w:val="21"/>
              </w:rPr>
              <w:t>型</w:t>
            </w:r>
          </w:p>
        </w:tc>
        <w:tc>
          <w:tcPr>
            <w:tcW w:w="16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szCs w:val="21"/>
              </w:rPr>
              <w:t>D</w:t>
            </w:r>
            <w:r>
              <w:rPr>
                <w:rFonts w:ascii="Arial" w:hAnsi="Arial" w:cs="Arial"/>
                <w:szCs w:val="21"/>
              </w:rPr>
              <w:t>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规格型号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pacing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pacing w:val="0"/>
                <w:sz w:val="21"/>
                <w:szCs w:val="21"/>
              </w:rPr>
              <w:t>GX</w:t>
            </w:r>
            <w:r>
              <w:rPr>
                <w:rFonts w:hint="eastAsia" w:ascii="Arial" w:hAnsi="Arial" w:cs="Arial"/>
                <w:spacing w:val="0"/>
                <w:sz w:val="21"/>
                <w:szCs w:val="21"/>
              </w:rPr>
              <w:t>3-LSM-04KGM-01A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pacing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pacing w:val="0"/>
                <w:sz w:val="21"/>
                <w:szCs w:val="21"/>
              </w:rPr>
              <w:t>GX</w:t>
            </w:r>
            <w:r>
              <w:rPr>
                <w:rFonts w:hint="eastAsia" w:ascii="Arial" w:hAnsi="Arial" w:cs="Arial"/>
                <w:spacing w:val="0"/>
                <w:sz w:val="21"/>
                <w:szCs w:val="21"/>
              </w:rPr>
              <w:t>3-LSM-04KGM-01B</w:t>
            </w:r>
          </w:p>
        </w:tc>
        <w:tc>
          <w:tcPr>
            <w:tcW w:w="17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pacing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pacing w:val="0"/>
                <w:sz w:val="21"/>
                <w:szCs w:val="21"/>
              </w:rPr>
              <w:t>GX</w:t>
            </w:r>
            <w:r>
              <w:rPr>
                <w:rFonts w:hint="eastAsia" w:ascii="Arial" w:hAnsi="Arial" w:cs="Arial"/>
                <w:spacing w:val="0"/>
                <w:sz w:val="21"/>
                <w:szCs w:val="21"/>
              </w:rPr>
              <w:t>3-LSM-04KGM-01C</w:t>
            </w:r>
          </w:p>
        </w:tc>
        <w:tc>
          <w:tcPr>
            <w:tcW w:w="16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pacing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pacing w:val="0"/>
                <w:sz w:val="21"/>
                <w:szCs w:val="21"/>
              </w:rPr>
              <w:t>GX</w:t>
            </w:r>
            <w:r>
              <w:rPr>
                <w:rFonts w:hint="eastAsia" w:ascii="Arial" w:hAnsi="Arial" w:cs="Arial"/>
                <w:spacing w:val="0"/>
                <w:sz w:val="21"/>
                <w:szCs w:val="21"/>
              </w:rPr>
              <w:t>3-LSM-04KGM-01D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安装位置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左侧轨面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右侧轨面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左侧轨腰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szCs w:val="21"/>
              </w:rPr>
              <w:t>轨中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右侧轨腰</w:t>
            </w:r>
          </w:p>
        </w:tc>
        <w:tc>
          <w:tcPr>
            <w:tcW w:w="17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左侧轨旁</w:t>
            </w:r>
          </w:p>
        </w:tc>
        <w:tc>
          <w:tcPr>
            <w:tcW w:w="16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右侧轨旁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散热方式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hint="eastAsia" w:ascii="Arial" w:hAnsi="Arial" w:cs="Arial" w:eastAsiaTheme="minorEastAsia"/>
                <w:szCs w:val="21"/>
                <w:lang w:val="en-US" w:eastAsia="zh-CN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散热片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散热片</w:t>
            </w:r>
          </w:p>
        </w:tc>
        <w:tc>
          <w:tcPr>
            <w:tcW w:w="17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散热片</w:t>
            </w:r>
          </w:p>
        </w:tc>
        <w:tc>
          <w:tcPr>
            <w:tcW w:w="16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散热片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74" w:type="dxa"/>
            <w:gridSpan w:val="6"/>
            <w:shd w:val="clear" w:color="auto" w:fill="D9E2F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contextualSpacing/>
              <w:jc w:val="center"/>
              <w:textAlignment w:val="auto"/>
              <w:rPr>
                <w:rFonts w:ascii="Arial" w:hAnsi="Arial" w:eastAsia="宋体" w:cs="Arial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机械参数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外形尺寸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218mm×130mm×200mm（长×宽×高）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模块</w:t>
            </w: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重量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8.1kg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szCs w:val="21"/>
              </w:rPr>
              <w:t>安装接口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6个螺纹口M6</w:t>
            </w:r>
            <w:r>
              <w:rPr>
                <w:rFonts w:hint="eastAsia" w:ascii="Arial" w:hAnsi="Arial" w:eastAsia="宋体" w:cs="Arial"/>
                <w:szCs w:val="21"/>
                <w:lang w:eastAsia="zh-CN"/>
              </w:rPr>
              <w:t>，</w:t>
            </w:r>
            <w:r>
              <w:rPr>
                <w:rFonts w:hint="eastAsia" w:ascii="Arial" w:hAnsi="Arial" w:eastAsia="宋体" w:cs="Arial"/>
                <w:szCs w:val="21"/>
              </w:rPr>
              <w:t>深度9mm</w:t>
            </w:r>
            <w:r>
              <w:rPr>
                <w:rFonts w:hint="eastAsia" w:ascii="Arial" w:hAnsi="Arial" w:eastAsia="宋体" w:cs="Arial"/>
                <w:szCs w:val="21"/>
                <w:lang w:eastAsia="zh-CN"/>
              </w:rPr>
              <w:t>，</w:t>
            </w:r>
            <w:r>
              <w:rPr>
                <w:rFonts w:hint="eastAsia" w:ascii="Arial" w:hAnsi="Arial" w:eastAsia="宋体" w:cs="Arial"/>
                <w:szCs w:val="21"/>
              </w:rPr>
              <w:t>镶嵌不锈钢螺套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74" w:type="dxa"/>
            <w:gridSpan w:val="6"/>
            <w:shd w:val="clear" w:color="auto" w:fill="D9E2F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电气、光学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szCs w:val="21"/>
              </w:rPr>
              <w:t>传感器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Teledyne Dalsa LA-GM-04K08A-00-R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镜头焦距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8mm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8mm</w:t>
            </w:r>
          </w:p>
        </w:tc>
        <w:tc>
          <w:tcPr>
            <w:tcW w:w="17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12.5mm</w:t>
            </w:r>
          </w:p>
        </w:tc>
        <w:tc>
          <w:tcPr>
            <w:tcW w:w="16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12.5mm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拍摄角度</w:t>
            </w:r>
          </w:p>
        </w:tc>
        <w:tc>
          <w:tcPr>
            <w:tcW w:w="165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84°</w:t>
            </w:r>
          </w:p>
        </w:tc>
        <w:tc>
          <w:tcPr>
            <w:tcW w:w="1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84°</w:t>
            </w:r>
          </w:p>
        </w:tc>
        <w:tc>
          <w:tcPr>
            <w:tcW w:w="1725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60°</w:t>
            </w:r>
          </w:p>
        </w:tc>
        <w:tc>
          <w:tcPr>
            <w:tcW w:w="160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60°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最高采集频率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50KHz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图像横向分辨率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4096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补光光源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红外激光光源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激光安全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满足GB 7247.1-2012中相关要求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触发源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支持标准TTL/LVDS信号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供电电源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24VDC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模块</w:t>
            </w: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峰值功率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74" w:type="dxa"/>
            <w:gridSpan w:val="6"/>
            <w:shd w:val="clear" w:color="auto" w:fill="D9E2F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b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环境技术指标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工作温度范围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cs="Arial"/>
                <w:szCs w:val="21"/>
              </w:rPr>
              <w:t>-10</w:t>
            </w:r>
            <w:r>
              <w:rPr>
                <w:rFonts w:hint="eastAsia" w:ascii="宋体" w:hAnsi="宋体" w:cs="宋体"/>
                <w:szCs w:val="21"/>
              </w:rPr>
              <w:t>℃</w:t>
            </w:r>
            <w:r>
              <w:rPr>
                <w:rFonts w:ascii="Arial" w:hAnsi="Arial" w:cs="Arial"/>
                <w:szCs w:val="21"/>
              </w:rPr>
              <w:t>～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+</w:t>
            </w:r>
            <w:r>
              <w:rPr>
                <w:rFonts w:ascii="Arial" w:hAnsi="Arial" w:cs="Arial"/>
                <w:szCs w:val="21"/>
              </w:rPr>
              <w:t>45</w:t>
            </w:r>
            <w:r>
              <w:rPr>
                <w:rFonts w:hint="eastAsia" w:ascii="宋体" w:hAnsi="宋体" w:cs="宋体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防冲击和振动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满足GB/T 21563-2018标准要求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防护等级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满足GB/T 4208-2017中</w:t>
            </w:r>
            <w:r>
              <w:rPr>
                <w:rFonts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IP67</w:t>
            </w:r>
            <w:r>
              <w:rPr>
                <w:rFonts w:hint="eastAsia" w:ascii="Arial" w:hAnsi="Arial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等级要求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防护玻璃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szCs w:val="21"/>
              </w:rPr>
              <w:t>高透光、自动电加热除雾、镀膜石英玻璃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szCs w:val="21"/>
              </w:rPr>
              <w:t>可靠性要求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szCs w:val="21"/>
              </w:rPr>
              <w:t>连续工作100小时以上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szCs w:val="21"/>
              </w:rPr>
              <w:t>可维护性要求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ascii="Arial" w:hAnsi="Arial" w:eastAsia="宋体" w:cs="Arial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szCs w:val="21"/>
              </w:rPr>
              <w:t>现场可更换视窗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激光强度要求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不低于10万lux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激光衰减要求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不低于5000小时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8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Arial" w:hAnsi="Arial" w:eastAsia="宋体" w:cs="Arial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183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  <w:lang w:val="en-US" w:eastAsia="zh-CN"/>
              </w:rPr>
              <w:t>模块外观表面喷涂要求</w:t>
            </w:r>
          </w:p>
        </w:tc>
        <w:tc>
          <w:tcPr>
            <w:tcW w:w="6664" w:type="dxa"/>
            <w:gridSpan w:val="4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Arial" w:hAnsi="Arial" w:eastAsia="宋体" w:cs="Arial"/>
                <w:szCs w:val="21"/>
              </w:rPr>
            </w:pPr>
            <w:r>
              <w:rPr>
                <w:rFonts w:hint="eastAsia" w:ascii="Arial" w:hAnsi="Arial" w:eastAsia="宋体" w:cs="Arial"/>
                <w:szCs w:val="21"/>
              </w:rPr>
              <w:t>黑色阳极氧化，80目</w:t>
            </w:r>
          </w:p>
        </w:tc>
      </w:tr>
    </w:tbl>
    <w:p>
      <w:pPr>
        <w:spacing w:line="0" w:lineRule="atLeast"/>
        <w:rPr>
          <w:rFonts w:ascii="宋体" w:hAnsi="宋体"/>
          <w:color w:val="FF0000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line="312" w:lineRule="auto"/>
        <w:ind w:firstLine="420" w:firstLineChars="200"/>
        <w:jc w:val="both"/>
        <w:textAlignment w:val="auto"/>
        <w:rPr>
          <w:rFonts w:hint="eastAsia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备注：激光光源采集模块对称安装于车体下方左右两侧（左侧轨腰、右侧轨腰、左侧轨旁、右侧轨旁），左右两侧激光光源、相机之间相互对称，同时相机采集图像方向一致，因此安装时需要区分A、B、C、D四种类型采集模块。可以通过采集模块铭牌型号、外壳标记的箭头方向区分采集模块A、B、C、D四种类型（A型、B型采集模块外壳标记的箭头为单箭头，指向相机拍摄方向；C型、D型采集模块外壳标记的箭头为双箭头，指向相机拍摄方向的箭头保持一致，另一个箭头指向左侧的是C型采集模块，指向右侧的是D型采集模块），箭头方向标识示意图如图3.1.3所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宋体" w:hAnsi="宋体" w:eastAsia="黑体"/>
          <w:color w:val="FF0000"/>
          <w:szCs w:val="22"/>
          <w:lang w:val="en-US" w:eastAsia="zh-CN"/>
        </w:rPr>
      </w:pPr>
      <w:r>
        <w:rPr>
          <w:rFonts w:hint="eastAsia" w:ascii="宋体" w:hAnsi="宋体" w:eastAsiaTheme="minorEastAsia"/>
          <w:color w:val="FF0000"/>
          <w:szCs w:val="22"/>
          <w:lang w:eastAsia="zh-CN"/>
        </w:rPr>
        <w:drawing>
          <wp:inline distT="0" distB="0" distL="114300" distR="114300">
            <wp:extent cx="1756410" cy="1306830"/>
            <wp:effectExtent l="0" t="0" r="11430" b="3810"/>
            <wp:docPr id="9" name="图片 9" descr="激光光源采集模块箭头方向标识-2023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激光光源采集模块箭头方向标识-20231010"/>
                    <pic:cNvPicPr>
                      <a:picLocks noChangeAspect="1"/>
                    </pic:cNvPicPr>
                  </pic:nvPicPr>
                  <pic:blipFill>
                    <a:blip r:embed="rId14"/>
                    <a:srcRect t="18608" b="21117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  <w:szCs w:val="22"/>
          <w:lang w:val="en-US" w:eastAsia="zh-CN"/>
        </w:rPr>
        <w:t xml:space="preserve"> </w:t>
      </w:r>
      <w:r>
        <w:rPr>
          <w:rFonts w:ascii="Arial" w:hAnsi="Arial" w:eastAsia="黑体" w:cs="Arial"/>
        </w:rPr>
        <w:drawing>
          <wp:inline distT="0" distB="0" distL="114300" distR="114300">
            <wp:extent cx="1868170" cy="1306830"/>
            <wp:effectExtent l="0" t="0" r="6350" b="381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8687" t="26660" r="13574" b="26968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Arial" w:hAnsi="Arial" w:eastAsia="黑体" w:cs="Arial"/>
          <w:lang w:val="en-US" w:eastAsia="zh-CN"/>
        </w:rPr>
        <w:t xml:space="preserve">  </w:t>
      </w:r>
      <w:r>
        <w:rPr>
          <w:rFonts w:ascii="Arial" w:hAnsi="Arial" w:eastAsia="黑体" w:cs="Arial"/>
        </w:rPr>
        <w:drawing>
          <wp:inline distT="0" distB="0" distL="114300" distR="114300">
            <wp:extent cx="1936750" cy="1308735"/>
            <wp:effectExtent l="0" t="0" r="13970" b="190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l="14408" t="26786" r="8294" b="26762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44" w:afterLines="50" w:line="0" w:lineRule="atLeast"/>
        <w:jc w:val="center"/>
        <w:textAlignment w:val="auto"/>
        <w:rPr>
          <w:rFonts w:hint="eastAsia"/>
          <w:szCs w:val="21"/>
          <w:lang w:eastAsia="zh-CN"/>
        </w:rPr>
      </w:pPr>
      <w:r>
        <w:rPr>
          <w:rFonts w:hint="eastAsia"/>
          <w:szCs w:val="21"/>
        </w:rPr>
        <w:t>图3.1.</w:t>
      </w:r>
      <w:r>
        <w:rPr>
          <w:rFonts w:hint="eastAsia"/>
          <w:szCs w:val="21"/>
          <w:lang w:val="en-US" w:eastAsia="zh-CN"/>
        </w:rPr>
        <w:t>3</w:t>
      </w:r>
      <w:r>
        <w:rPr>
          <w:rFonts w:hint="eastAsia"/>
          <w:szCs w:val="21"/>
        </w:rPr>
        <w:t xml:space="preserve">  箭头方向标识示意图</w:t>
      </w:r>
      <w:r>
        <w:rPr>
          <w:rFonts w:hint="eastAsia"/>
          <w:szCs w:val="21"/>
          <w:lang w:eastAsia="zh-CN"/>
        </w:rPr>
        <w:t>（</w:t>
      </w:r>
      <w:r>
        <w:rPr>
          <w:rFonts w:hint="eastAsia"/>
          <w:szCs w:val="21"/>
          <w:lang w:val="en-US" w:eastAsia="zh-CN"/>
        </w:rPr>
        <w:t>A型、B型、C型、D型激光光源采集模块</w:t>
      </w:r>
      <w:r>
        <w:rPr>
          <w:rFonts w:hint="eastAsia"/>
          <w:szCs w:val="21"/>
          <w:lang w:eastAsia="zh-CN"/>
        </w:rPr>
        <w:t>）</w:t>
      </w:r>
    </w:p>
    <w:p>
      <w:pPr>
        <w:spacing w:line="0" w:lineRule="atLeast"/>
        <w:rPr>
          <w:rFonts w:ascii="宋体" w:hAnsi="宋体"/>
          <w:color w:val="FF0000"/>
          <w:szCs w:val="22"/>
        </w:rPr>
      </w:pPr>
    </w:p>
    <w:p>
      <w:pPr>
        <w:ind w:firstLine="482" w:firstLineChars="200"/>
        <w:rPr>
          <w:b/>
          <w:bCs/>
          <w:sz w:val="24"/>
          <w:szCs w:val="24"/>
        </w:rPr>
      </w:pPr>
      <w:bookmarkStart w:id="15" w:name="_Toc21826"/>
      <w:r>
        <w:rPr>
          <w:rFonts w:hint="eastAsia"/>
          <w:b/>
          <w:bCs/>
          <w:sz w:val="24"/>
          <w:szCs w:val="24"/>
        </w:rPr>
        <w:t>颜色字体</w:t>
      </w:r>
      <w:bookmarkEnd w:id="15"/>
    </w:p>
    <w:p>
      <w:pPr>
        <w:ind w:firstLine="480" w:firstLineChars="200"/>
        <w:rPr>
          <w:rFonts w:ascii="宋体" w:hAnsi="宋体"/>
          <w:color w:val="FF0000"/>
          <w:szCs w:val="22"/>
        </w:rPr>
      </w:pPr>
      <w:r>
        <w:rPr>
          <w:rFonts w:hint="eastAsia" w:ascii="宋体" w:cs="宋体"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无。</w:t>
      </w:r>
    </w:p>
    <w:p>
      <w:pPr>
        <w:pStyle w:val="3"/>
        <w:ind w:left="575" w:hanging="575"/>
        <w:rPr>
          <w:b/>
          <w:bCs w:val="0"/>
          <w:szCs w:val="24"/>
        </w:rPr>
      </w:pPr>
      <w:bookmarkStart w:id="16" w:name="_Toc6787"/>
      <w:bookmarkStart w:id="17" w:name="_Toc2751"/>
      <w:bookmarkStart w:id="18" w:name="_Toc26984"/>
      <w:r>
        <w:rPr>
          <w:rFonts w:hint="eastAsia"/>
          <w:b/>
          <w:bCs w:val="0"/>
          <w:szCs w:val="24"/>
        </w:rPr>
        <w:t>器件布局</w:t>
      </w:r>
      <w:bookmarkEnd w:id="16"/>
      <w:bookmarkEnd w:id="17"/>
      <w:bookmarkEnd w:id="18"/>
    </w:p>
    <w:p>
      <w:pPr>
        <w:ind w:firstLine="480" w:firstLineChars="200"/>
        <w:rPr>
          <w:rFonts w:ascii="宋体" w:hAnsi="宋体"/>
          <w:color w:val="FF0000"/>
          <w:szCs w:val="22"/>
        </w:rPr>
      </w:pPr>
      <w:r>
        <w:rPr>
          <w:rFonts w:hint="eastAsia" w:ascii="宋体" w:cs="宋体"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无。</w:t>
      </w:r>
    </w:p>
    <w:p>
      <w:pPr>
        <w:pStyle w:val="3"/>
        <w:ind w:left="575" w:hanging="575"/>
        <w:rPr>
          <w:b/>
          <w:bCs w:val="0"/>
          <w:szCs w:val="24"/>
        </w:rPr>
      </w:pPr>
      <w:bookmarkStart w:id="19" w:name="_Toc24094"/>
      <w:bookmarkStart w:id="20" w:name="_Toc11704"/>
      <w:bookmarkStart w:id="21" w:name="_Toc29829"/>
      <w:r>
        <w:rPr>
          <w:rFonts w:hint="eastAsia"/>
          <w:b/>
          <w:bCs w:val="0"/>
          <w:szCs w:val="24"/>
        </w:rPr>
        <w:t>电气要求</w:t>
      </w:r>
      <w:bookmarkEnd w:id="19"/>
      <w:bookmarkEnd w:id="20"/>
      <w:bookmarkEnd w:id="21"/>
    </w:p>
    <w:p>
      <w:pPr>
        <w:ind w:firstLine="482" w:firstLineChars="200"/>
        <w:rPr>
          <w:b/>
          <w:bCs/>
          <w:sz w:val="24"/>
          <w:szCs w:val="24"/>
        </w:rPr>
      </w:pPr>
      <w:bookmarkStart w:id="22" w:name="_Toc10931"/>
      <w:r>
        <w:rPr>
          <w:rFonts w:hint="eastAsia"/>
          <w:b/>
          <w:bCs/>
          <w:sz w:val="24"/>
          <w:szCs w:val="24"/>
        </w:rPr>
        <w:t>电源模块功能指标</w:t>
      </w:r>
      <w:bookmarkEnd w:id="22"/>
    </w:p>
    <w:p>
      <w:pPr>
        <w:ind w:firstLine="480" w:firstLineChars="200"/>
        <w:rPr>
          <w:rFonts w:ascii="宋体" w:cs="宋体"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cs="宋体"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无。</w:t>
      </w:r>
    </w:p>
    <w:p>
      <w:pPr>
        <w:ind w:firstLine="482" w:firstLineChars="200"/>
        <w:rPr>
          <w:b/>
          <w:bCs/>
          <w:sz w:val="24"/>
          <w:szCs w:val="24"/>
        </w:rPr>
      </w:pPr>
      <w:bookmarkStart w:id="23" w:name="_Toc12674"/>
      <w:r>
        <w:rPr>
          <w:rFonts w:hint="eastAsia"/>
          <w:b/>
          <w:bCs/>
          <w:sz w:val="24"/>
          <w:szCs w:val="24"/>
        </w:rPr>
        <w:t>电气连接图</w:t>
      </w:r>
      <w:bookmarkEnd w:id="23"/>
    </w:p>
    <w:p>
      <w:pPr>
        <w:ind w:firstLine="480" w:firstLineChars="200"/>
        <w:rPr>
          <w:rFonts w:ascii="宋体" w:hAnsi="宋体"/>
          <w:color w:val="FF0000"/>
          <w:szCs w:val="22"/>
        </w:rPr>
      </w:pPr>
      <w:r>
        <w:rPr>
          <w:rFonts w:hint="eastAsia" w:ascii="宋体" w:cs="宋体"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无。</w:t>
      </w:r>
    </w:p>
    <w:p>
      <w:pPr>
        <w:pStyle w:val="3"/>
        <w:ind w:left="575" w:hanging="575"/>
        <w:rPr>
          <w:b/>
          <w:bCs w:val="0"/>
          <w:szCs w:val="24"/>
        </w:rPr>
      </w:pPr>
      <w:bookmarkStart w:id="24" w:name="_Toc21891"/>
      <w:bookmarkStart w:id="25" w:name="_Toc6298"/>
      <w:bookmarkStart w:id="26" w:name="_Toc6577"/>
      <w:r>
        <w:rPr>
          <w:rFonts w:hint="eastAsia"/>
          <w:b/>
          <w:bCs w:val="0"/>
          <w:szCs w:val="24"/>
        </w:rPr>
        <w:t>组装要求</w:t>
      </w:r>
      <w:bookmarkEnd w:id="24"/>
      <w:bookmarkEnd w:id="25"/>
      <w:bookmarkEnd w:id="26"/>
    </w:p>
    <w:p>
      <w:pPr>
        <w:pStyle w:val="19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1）螺钉材质和强度不低于图纸要求；</w:t>
      </w:r>
    </w:p>
    <w:p>
      <w:pPr>
        <w:pStyle w:val="19"/>
        <w:ind w:firstLine="480" w:firstLineChars="200"/>
        <w:rPr>
          <w:rFonts w:hAnsi="宋体"/>
          <w:sz w:val="24"/>
          <w:szCs w:val="24"/>
        </w:rPr>
      </w:pPr>
      <w:r>
        <w:rPr>
          <w:rFonts w:hint="eastAsia" w:hAnsi="宋体"/>
          <w:sz w:val="24"/>
          <w:szCs w:val="24"/>
        </w:rPr>
        <w:t>2）依据装配图组装完整，相关紧固件符合图纸要求；</w:t>
      </w:r>
    </w:p>
    <w:p>
      <w:pPr>
        <w:pStyle w:val="67"/>
        <w:ind w:firstLine="480"/>
        <w:rPr>
          <w:rFonts w:ascii="宋体" w:cs="宋体"/>
          <w:sz w:val="24"/>
          <w:szCs w:val="24"/>
        </w:rPr>
      </w:pPr>
      <w:r>
        <w:rPr>
          <w:rFonts w:hint="eastAsia" w:ascii="宋体" w:cs="宋体"/>
          <w:sz w:val="24"/>
          <w:szCs w:val="24"/>
        </w:rPr>
        <w:t>3）如部件或子件涉及组装，需附组装图。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激光光源采集模块根据安装、拍摄位置不同分为A、B、C、D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sz w:val="24"/>
          <w:szCs w:val="24"/>
        </w:rPr>
        <w:t>种类型，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采集</w:t>
      </w:r>
      <w:r>
        <w:rPr>
          <w:rFonts w:hint="eastAsia" w:ascii="宋体" w:hAnsi="宋体" w:eastAsia="宋体" w:cs="宋体"/>
          <w:sz w:val="24"/>
          <w:szCs w:val="24"/>
        </w:rPr>
        <w:t>模块类型与安装位置对应关系如图3.4.1所示，A型激光光源采集模块铭牌如图3.4.2所示。</w:t>
      </w:r>
    </w:p>
    <w:p>
      <w:pPr>
        <w:ind w:left="0" w:leftChars="0" w:firstLine="0" w:firstLineChars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67"/>
        <w:ind w:firstLine="0" w:firstLineChars="0"/>
        <w:jc w:val="center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drawing>
          <wp:inline distT="0" distB="0" distL="0" distR="0">
            <wp:extent cx="5658485" cy="1979930"/>
            <wp:effectExtent l="0" t="0" r="10795" b="1270"/>
            <wp:docPr id="6" name="图片 6" descr="C:\Users\Administrator\Desktop\IMG_6467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IMG_6467_副本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图3.4.1  模块类型与安装位置对应关系示意图</w:t>
      </w:r>
    </w:p>
    <w:p>
      <w:pPr>
        <w:jc w:val="both"/>
        <w:rPr>
          <w:rFonts w:hint="eastAsia"/>
          <w:szCs w:val="21"/>
        </w:rPr>
      </w:pPr>
    </w:p>
    <w:p>
      <w:pPr>
        <w:jc w:val="center"/>
        <w:rPr>
          <w:rFonts w:ascii="Times New Roman" w:hAnsi="Times New Roman" w:eastAsia="宋体" w:cs="Times New Roman"/>
          <w:kern w:val="2"/>
          <w:sz w:val="24"/>
          <w:szCs w:val="24"/>
        </w:rPr>
      </w:pPr>
      <w:r>
        <w:rPr>
          <w:rFonts w:ascii="Arial" w:hAnsi="Arial" w:cs="Arial"/>
          <w:szCs w:val="21"/>
        </w:rPr>
        <w:drawing>
          <wp:inline distT="0" distB="0" distL="0" distR="0">
            <wp:extent cx="3006090" cy="1852295"/>
            <wp:effectExtent l="0" t="0" r="3810" b="14605"/>
            <wp:docPr id="5" name="图片 5" descr="C:\Users\Administrator\Desktop\激光光源成像组件铭牌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激光光源成像组件铭牌_副本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图3.4.2  A型激光光源采集模块铭牌示意图</w:t>
      </w:r>
    </w:p>
    <w:p>
      <w:pPr>
        <w:jc w:val="both"/>
        <w:rPr>
          <w:rFonts w:hint="eastAsia"/>
          <w:szCs w:val="21"/>
        </w:rPr>
      </w:pPr>
    </w:p>
    <w:p>
      <w:pPr>
        <w:pStyle w:val="3"/>
        <w:ind w:left="575" w:hanging="575"/>
        <w:rPr>
          <w:b/>
          <w:bCs w:val="0"/>
          <w:szCs w:val="24"/>
        </w:rPr>
      </w:pPr>
      <w:bookmarkStart w:id="27" w:name="_Toc20460"/>
      <w:bookmarkStart w:id="28" w:name="_Toc27429"/>
      <w:bookmarkStart w:id="29" w:name="_Toc22285"/>
      <w:r>
        <w:rPr>
          <w:rFonts w:hint="eastAsia"/>
          <w:b/>
          <w:bCs w:val="0"/>
          <w:szCs w:val="24"/>
        </w:rPr>
        <w:t>接口要求</w:t>
      </w:r>
      <w:bookmarkEnd w:id="27"/>
      <w:bookmarkEnd w:id="28"/>
      <w:bookmarkEnd w:id="29"/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drawing>
          <wp:inline distT="0" distB="0" distL="114300" distR="114300">
            <wp:extent cx="2044065" cy="1798320"/>
            <wp:effectExtent l="0" t="0" r="0" b="1333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04406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18"/>
          <w:szCs w:val="18"/>
        </w:rPr>
      </w:pPr>
      <w:r>
        <w:rPr>
          <w:rFonts w:hint="eastAsia"/>
          <w:szCs w:val="21"/>
        </w:rPr>
        <w:t>图3.5.1  模块指示灯</w:t>
      </w:r>
    </w:p>
    <w:p>
      <w:pPr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电源：电源状态指示灯（长亮表示工作正常）；</w:t>
      </w:r>
    </w:p>
    <w:p>
      <w:pPr>
        <w:ind w:firstLine="42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系统：内部控制器指示灯（闪烁表示工作正常）；</w:t>
      </w:r>
    </w:p>
    <w:p>
      <w:pPr>
        <w:ind w:firstLine="42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采集：采集信号指示灯（长亮或闪烁表示工作正常）。</w:t>
      </w:r>
    </w:p>
    <w:p>
      <w:pPr>
        <w:ind w:left="0" w:leftChars="0" w:firstLine="0" w:firstLineChars="0"/>
        <w:rPr>
          <w:rFonts w:hint="eastAsia" w:ascii="宋体" w:hAnsi="宋体"/>
          <w:sz w:val="24"/>
        </w:rPr>
      </w:pPr>
    </w:p>
    <w:p>
      <w:pPr>
        <w:spacing w:line="240" w:lineRule="auto"/>
        <w:jc w:val="center"/>
        <w:rPr>
          <w:szCs w:val="21"/>
        </w:rPr>
      </w:pPr>
      <w:r>
        <w:rPr>
          <w:rFonts w:ascii="Arial" w:hAnsi="Arial" w:eastAsia="宋体" w:cs="Arial"/>
          <w:b/>
          <w:sz w:val="24"/>
          <w:szCs w:val="24"/>
        </w:rPr>
        <w:drawing>
          <wp:inline distT="0" distB="0" distL="0" distR="0">
            <wp:extent cx="3036570" cy="3288030"/>
            <wp:effectExtent l="0" t="0" r="11430" b="3810"/>
            <wp:docPr id="15" name="图片 15" descr="C:\Users\Administrator\AppData\Local\Temp\WeChat Files\f0d251c155447ea3651275b9c20c3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AppData\Local\Temp\WeChat Files\f0d251c155447ea3651275b9c20c3c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42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rFonts w:hAnsi="宋体" w:eastAsia="宋体"/>
          <w:szCs w:val="21"/>
        </w:rPr>
      </w:pPr>
      <w:r>
        <w:rPr>
          <w:rFonts w:hint="eastAsia" w:hAnsi="宋体"/>
          <w:szCs w:val="21"/>
        </w:rPr>
        <w:t>图3.5.2  模块插座</w:t>
      </w:r>
    </w:p>
    <w:p>
      <w:pPr>
        <w:spacing w:line="0" w:lineRule="atLeast"/>
        <w:jc w:val="center"/>
        <w:rPr>
          <w:szCs w:val="21"/>
        </w:rPr>
      </w:pPr>
    </w:p>
    <w:p>
      <w:pPr>
        <w:jc w:val="center"/>
        <w:rPr>
          <w:rFonts w:ascii="宋体" w:hAnsi="宋体"/>
          <w:sz w:val="24"/>
        </w:rPr>
      </w:pPr>
      <w:r>
        <w:rPr>
          <w:rFonts w:hAnsi="宋体"/>
          <w:szCs w:val="21"/>
        </w:rPr>
        <w:t>表</w:t>
      </w:r>
      <w:r>
        <w:rPr>
          <w:rFonts w:hint="eastAsia" w:hAnsi="宋体"/>
          <w:szCs w:val="21"/>
        </w:rPr>
        <w:t>3.5.1  模块插座</w:t>
      </w:r>
    </w:p>
    <w:tbl>
      <w:tblPr>
        <w:tblStyle w:val="68"/>
        <w:tblW w:w="8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2165"/>
        <w:gridCol w:w="2165"/>
        <w:gridCol w:w="2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60" w:type="dxa"/>
            <w:gridSpan w:val="4"/>
            <w:shd w:val="clear" w:color="auto" w:fill="B8CCE4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模块插座接口定义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shd w:val="clear" w:color="auto" w:fill="DBE5F1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模块</w:t>
            </w:r>
          </w:p>
        </w:tc>
        <w:tc>
          <w:tcPr>
            <w:tcW w:w="2165" w:type="dxa"/>
            <w:shd w:val="clear" w:color="auto" w:fill="DBE5F1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针脚</w:t>
            </w:r>
          </w:p>
        </w:tc>
        <w:tc>
          <w:tcPr>
            <w:tcW w:w="2165" w:type="dxa"/>
            <w:shd w:val="clear" w:color="auto" w:fill="DBE5F1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定义</w:t>
            </w:r>
          </w:p>
        </w:tc>
        <w:tc>
          <w:tcPr>
            <w:tcW w:w="2166" w:type="dxa"/>
            <w:shd w:val="clear" w:color="auto" w:fill="DBE5F1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线颜色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restart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电源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+24V</w:t>
            </w: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-24V</w:t>
            </w: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A+</w:t>
            </w: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A-</w:t>
            </w: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GND</w:t>
            </w: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restart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网络</w:t>
            </w: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2165" w:type="dxa"/>
            <w:vMerge w:val="restart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网线定义568B</w:t>
            </w: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橙白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216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绿白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216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蓝白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216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棕白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</w:t>
            </w:r>
          </w:p>
        </w:tc>
        <w:tc>
          <w:tcPr>
            <w:tcW w:w="216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6</w:t>
            </w:r>
          </w:p>
        </w:tc>
        <w:tc>
          <w:tcPr>
            <w:tcW w:w="216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7</w:t>
            </w:r>
          </w:p>
        </w:tc>
        <w:tc>
          <w:tcPr>
            <w:tcW w:w="216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6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</w:t>
            </w:r>
          </w:p>
        </w:tc>
        <w:tc>
          <w:tcPr>
            <w:tcW w:w="216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16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棕</w:t>
            </w:r>
          </w:p>
        </w:tc>
      </w:tr>
    </w:tbl>
    <w:p>
      <w:pPr>
        <w:spacing w:line="0" w:lineRule="atLeast"/>
        <w:rPr>
          <w:rFonts w:ascii="宋体" w:hAnsi="宋体"/>
          <w:color w:val="FF0000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宋体" w:hAnsi="宋体"/>
          <w:sz w:val="24"/>
        </w:rPr>
      </w:pPr>
      <w:r>
        <w:rPr>
          <w:rFonts w:ascii="Arial" w:hAnsi="Arial" w:eastAsia="宋体" w:cs="Arial"/>
          <w:b/>
          <w:sz w:val="24"/>
          <w:szCs w:val="24"/>
        </w:rPr>
        <w:drawing>
          <wp:inline distT="0" distB="0" distL="0" distR="0">
            <wp:extent cx="3312795" cy="1963420"/>
            <wp:effectExtent l="0" t="0" r="9525" b="2540"/>
            <wp:docPr id="17" name="图片 17" descr="C:\Users\Administrator\AppData\Local\Temp\WeChat Files\a678a41667acb4bd415de2a9c073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AppData\Local\Temp\WeChat Files\a678a41667acb4bd415de2a9c07314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0"/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Ansi="宋体"/>
          <w:szCs w:val="21"/>
        </w:rPr>
      </w:pPr>
      <w:r>
        <w:rPr>
          <w:rFonts w:hint="eastAsia" w:hAnsi="宋体"/>
          <w:szCs w:val="21"/>
        </w:rPr>
        <w:t>图3.5.3  模块插头</w:t>
      </w:r>
    </w:p>
    <w:p>
      <w:pPr>
        <w:spacing w:line="0" w:lineRule="atLeast"/>
        <w:rPr>
          <w:rFonts w:ascii="宋体" w:hAnsi="宋体"/>
          <w:color w:val="FF0000"/>
          <w:szCs w:val="22"/>
        </w:rPr>
      </w:pPr>
    </w:p>
    <w:p>
      <w:pPr>
        <w:jc w:val="center"/>
        <w:rPr>
          <w:rFonts w:ascii="Arial" w:hAnsi="Arial" w:eastAsia="黑体" w:cs="Arial"/>
        </w:rPr>
      </w:pPr>
      <w:r>
        <w:rPr>
          <w:rFonts w:hAnsi="宋体"/>
          <w:szCs w:val="21"/>
        </w:rPr>
        <w:t>表</w:t>
      </w:r>
      <w:r>
        <w:rPr>
          <w:rFonts w:hint="eastAsia" w:hAnsi="宋体"/>
          <w:szCs w:val="21"/>
        </w:rPr>
        <w:t>3.5.2  模块插头</w:t>
      </w:r>
    </w:p>
    <w:tbl>
      <w:tblPr>
        <w:tblStyle w:val="68"/>
        <w:tblW w:w="83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4"/>
        <w:gridCol w:w="2095"/>
        <w:gridCol w:w="2095"/>
        <w:gridCol w:w="20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380" w:type="dxa"/>
            <w:gridSpan w:val="4"/>
            <w:shd w:val="clear" w:color="auto" w:fill="B8CCE4"/>
            <w:vAlign w:val="center"/>
          </w:tcPr>
          <w:p>
            <w:pPr>
              <w:spacing w:line="240" w:lineRule="auto"/>
              <w:jc w:val="center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模块插头接口定义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shd w:val="clear" w:color="auto" w:fill="DBE5F1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模块</w:t>
            </w:r>
          </w:p>
        </w:tc>
        <w:tc>
          <w:tcPr>
            <w:tcW w:w="2095" w:type="dxa"/>
            <w:shd w:val="clear" w:color="auto" w:fill="DBE5F1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针脚</w:t>
            </w:r>
          </w:p>
        </w:tc>
        <w:tc>
          <w:tcPr>
            <w:tcW w:w="2095" w:type="dxa"/>
            <w:shd w:val="clear" w:color="auto" w:fill="DBE5F1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定义</w:t>
            </w:r>
          </w:p>
        </w:tc>
        <w:tc>
          <w:tcPr>
            <w:tcW w:w="2096" w:type="dxa"/>
            <w:shd w:val="clear" w:color="auto" w:fill="DBE5F1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Cs w:val="21"/>
              </w:rPr>
              <w:t>线颜色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restart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电源</w:t>
            </w: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+24V</w:t>
            </w: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-24V</w:t>
            </w: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A+</w:t>
            </w: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A-</w:t>
            </w: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</w:t>
            </w: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GND</w:t>
            </w: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restart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网络</w:t>
            </w: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2095" w:type="dxa"/>
            <w:vMerge w:val="restart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网线定义568B</w:t>
            </w: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橙白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209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绿白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3</w:t>
            </w:r>
          </w:p>
        </w:tc>
        <w:tc>
          <w:tcPr>
            <w:tcW w:w="209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蓝白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4</w:t>
            </w:r>
          </w:p>
        </w:tc>
        <w:tc>
          <w:tcPr>
            <w:tcW w:w="209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棕白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5</w:t>
            </w:r>
          </w:p>
        </w:tc>
        <w:tc>
          <w:tcPr>
            <w:tcW w:w="209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6</w:t>
            </w:r>
          </w:p>
        </w:tc>
        <w:tc>
          <w:tcPr>
            <w:tcW w:w="209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7</w:t>
            </w:r>
          </w:p>
        </w:tc>
        <w:tc>
          <w:tcPr>
            <w:tcW w:w="209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094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5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</w:t>
            </w:r>
          </w:p>
        </w:tc>
        <w:tc>
          <w:tcPr>
            <w:tcW w:w="2095" w:type="dxa"/>
            <w:vMerge w:val="continue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096" w:type="dxa"/>
            <w:vAlign w:val="center"/>
          </w:tcPr>
          <w:p>
            <w:pPr>
              <w:spacing w:line="240" w:lineRule="auto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棕</w:t>
            </w:r>
          </w:p>
        </w:tc>
      </w:tr>
    </w:tbl>
    <w:p>
      <w:pPr>
        <w:spacing w:line="0" w:lineRule="atLeast"/>
        <w:rPr>
          <w:rFonts w:ascii="宋体" w:hAnsi="宋体"/>
          <w:color w:val="FF0000"/>
          <w:szCs w:val="22"/>
        </w:rPr>
      </w:pPr>
    </w:p>
    <w:p>
      <w:pPr>
        <w:pStyle w:val="2"/>
        <w:ind w:left="432" w:hanging="432"/>
        <w:rPr>
          <w:sz w:val="28"/>
          <w:szCs w:val="28"/>
        </w:rPr>
      </w:pPr>
      <w:bookmarkStart w:id="30" w:name="_Toc25724"/>
      <w:bookmarkStart w:id="31" w:name="_Toc22282"/>
      <w:r>
        <w:rPr>
          <w:rFonts w:hint="eastAsia"/>
          <w:sz w:val="28"/>
          <w:szCs w:val="28"/>
        </w:rPr>
        <w:t>其他要求</w:t>
      </w:r>
      <w:bookmarkEnd w:id="30"/>
      <w:bookmarkEnd w:id="31"/>
    </w:p>
    <w:p>
      <w:pPr>
        <w:ind w:firstLine="480"/>
        <w:rPr>
          <w:rFonts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1）运行温度：-10℃～+45℃；</w:t>
      </w:r>
    </w:p>
    <w:p>
      <w:pPr>
        <w:ind w:firstLine="480"/>
        <w:rPr>
          <w:rFonts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2）存储温度：-40℃～+70℃；</w:t>
      </w:r>
    </w:p>
    <w:p>
      <w:pPr>
        <w:ind w:firstLine="480"/>
        <w:rPr>
          <w:rFonts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3）产品及其附件必须带有产品合格证书，并带产品检验及测试报告；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4）</w:t>
      </w:r>
      <w:r>
        <w:rPr>
          <w:rFonts w:ascii="宋体" w:hAnsi="宋体"/>
          <w:sz w:val="24"/>
        </w:rPr>
        <w:t>打开外包装前请确认产品包装完好，如有破损请联系物流相关人员；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5）</w:t>
      </w:r>
      <w:r>
        <w:rPr>
          <w:rFonts w:ascii="宋体" w:hAnsi="宋体"/>
          <w:sz w:val="24"/>
        </w:rPr>
        <w:t>由于产品在出厂前经过精密调试，不可轻易打开设备；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6）</w:t>
      </w:r>
      <w:r>
        <w:rPr>
          <w:rFonts w:ascii="宋体" w:hAnsi="宋体"/>
          <w:sz w:val="24"/>
        </w:rPr>
        <w:t>产品在工作期间请勿随意插拔相机的电源和数据线缆，如有需求，请在程序停止并断电后进行操作；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7）</w:t>
      </w:r>
      <w:r>
        <w:rPr>
          <w:rFonts w:ascii="宋体" w:hAnsi="宋体"/>
          <w:sz w:val="24"/>
        </w:rPr>
        <w:t>本产品为激光产品，上电状态下不能直视激光器，长时间直视会对人眼造成损伤；</w:t>
      </w:r>
    </w:p>
    <w:p>
      <w:pPr>
        <w:ind w:firstLine="48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8）</w:t>
      </w:r>
      <w:r>
        <w:rPr>
          <w:rFonts w:ascii="宋体" w:hAnsi="宋体"/>
          <w:sz w:val="24"/>
        </w:rPr>
        <w:t>在户外使用时，注意航插接头处的防水保护，以免造成电路损坏；</w:t>
      </w:r>
    </w:p>
    <w:p>
      <w:pPr>
        <w:ind w:firstLine="480"/>
        <w:rPr>
          <w:rFonts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9）定期清洁玻璃罩，过度的灰尘及污渍会影响相机的成像质量；</w:t>
      </w:r>
    </w:p>
    <w:p>
      <w:pPr>
        <w:ind w:firstLine="480"/>
        <w:rPr>
          <w:rFonts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10）请勿在通风不好的情况下，对组件进行高频、长时间的持续测试，避免组件过热；</w:t>
      </w:r>
    </w:p>
    <w:p>
      <w:pPr>
        <w:ind w:firstLine="480"/>
        <w:rPr>
          <w:rFonts w:ascii="宋体" w:hAnsi="宋体"/>
          <w:sz w:val="24"/>
          <w:szCs w:val="22"/>
        </w:rPr>
      </w:pPr>
      <w:r>
        <w:rPr>
          <w:rFonts w:hint="eastAsia" w:ascii="宋体" w:hAnsi="宋体"/>
          <w:sz w:val="24"/>
          <w:szCs w:val="22"/>
        </w:rPr>
        <w:t>11）相机参数修改请在专业人员指导下进行，避免由于参数设置错误导致的模块不采集、采集黑图等问题。</w:t>
      </w:r>
    </w:p>
    <w:p>
      <w:pPr>
        <w:pStyle w:val="2"/>
        <w:ind w:left="432" w:hanging="432"/>
        <w:rPr>
          <w:sz w:val="28"/>
          <w:szCs w:val="28"/>
        </w:rPr>
      </w:pPr>
      <w:bookmarkStart w:id="32" w:name="_Toc19502"/>
      <w:bookmarkStart w:id="33" w:name="_Toc13012"/>
      <w:r>
        <w:rPr>
          <w:rFonts w:hint="eastAsia"/>
          <w:sz w:val="28"/>
          <w:szCs w:val="28"/>
        </w:rPr>
        <w:t>不合格控制要求</w:t>
      </w:r>
      <w:bookmarkEnd w:id="32"/>
      <w:bookmarkEnd w:id="33"/>
    </w:p>
    <w:p>
      <w:pPr>
        <w:ind w:firstLine="480" w:firstLineChars="200"/>
        <w:rPr>
          <w:bCs/>
          <w:sz w:val="24"/>
          <w:szCs w:val="24"/>
        </w:rPr>
      </w:pPr>
      <w:bookmarkStart w:id="34" w:name="_Toc7307"/>
      <w:r>
        <w:rPr>
          <w:rFonts w:hint="eastAsia" w:ascii="宋体" w:cs="宋体"/>
          <w:bCs/>
          <w:sz w:val="24"/>
          <w:szCs w:val="24"/>
        </w:rPr>
        <w:t>供应商不合格产品应按照《不合格品控制程序》进行控制。</w:t>
      </w:r>
    </w:p>
    <w:p>
      <w:pPr>
        <w:pStyle w:val="2"/>
        <w:ind w:left="432" w:hanging="432"/>
        <w:rPr>
          <w:sz w:val="28"/>
          <w:szCs w:val="28"/>
        </w:rPr>
      </w:pPr>
      <w:bookmarkStart w:id="35" w:name="_Toc16488"/>
      <w:r>
        <w:rPr>
          <w:rFonts w:hint="eastAsia"/>
          <w:sz w:val="28"/>
          <w:szCs w:val="28"/>
        </w:rPr>
        <w:t>技术文件清单控制</w:t>
      </w:r>
      <w:bookmarkEnd w:id="34"/>
      <w:bookmarkEnd w:id="35"/>
    </w:p>
    <w:p>
      <w:pPr>
        <w:ind w:firstLine="480" w:firstLineChars="200"/>
        <w:rPr>
          <w:rFonts w:ascii="宋体" w:cs="宋体"/>
          <w:bCs/>
          <w:sz w:val="24"/>
          <w:szCs w:val="24"/>
        </w:rPr>
      </w:pPr>
      <w:r>
        <w:rPr>
          <w:rFonts w:hint="eastAsia" w:ascii="宋体" w:cs="宋体"/>
          <w:bCs/>
          <w:sz w:val="24"/>
          <w:szCs w:val="24"/>
        </w:rPr>
        <w:t>供应商应提供必要的技术资料，技术资料可包括图纸、说明书等。</w:t>
      </w:r>
    </w:p>
    <w:p>
      <w:pPr>
        <w:pStyle w:val="2"/>
        <w:ind w:left="432" w:hanging="432"/>
        <w:rPr>
          <w:sz w:val="28"/>
          <w:szCs w:val="28"/>
        </w:rPr>
      </w:pPr>
      <w:bookmarkStart w:id="36" w:name="_Toc9513"/>
      <w:bookmarkStart w:id="37" w:name="_Toc22597"/>
      <w:r>
        <w:rPr>
          <w:rFonts w:hint="eastAsia"/>
          <w:sz w:val="28"/>
          <w:szCs w:val="28"/>
        </w:rPr>
        <w:t>变更控制</w:t>
      </w:r>
      <w:bookmarkEnd w:id="36"/>
      <w:bookmarkEnd w:id="37"/>
    </w:p>
    <w:p>
      <w:pPr>
        <w:ind w:firstLine="480" w:firstLineChars="200"/>
        <w:rPr>
          <w:rFonts w:ascii="Arial" w:hAnsi="Arial" w:eastAsia="宋体" w:cs="Times New Roman"/>
          <w:b/>
          <w:kern w:val="2"/>
          <w:sz w:val="24"/>
          <w:szCs w:val="24"/>
        </w:rPr>
      </w:pPr>
      <w:r>
        <w:rPr>
          <w:rFonts w:hint="eastAsia" w:ascii="Arial" w:hAnsi="Arial" w:cs="Times New Roman"/>
          <w:bCs/>
          <w:kern w:val="2"/>
          <w:sz w:val="24"/>
          <w:szCs w:val="24"/>
        </w:rPr>
        <w:t>如产品发生变更，供应商应提前至少1个月通知采购部和相关部门。</w:t>
      </w:r>
    </w:p>
    <w:p>
      <w:pPr>
        <w:pStyle w:val="2"/>
        <w:ind w:left="432" w:hanging="432"/>
        <w:rPr>
          <w:sz w:val="28"/>
          <w:szCs w:val="28"/>
        </w:rPr>
      </w:pPr>
      <w:bookmarkStart w:id="38" w:name="_Toc7624"/>
      <w:bookmarkStart w:id="39" w:name="_Toc9360"/>
      <w:r>
        <w:rPr>
          <w:rFonts w:hint="eastAsia"/>
          <w:sz w:val="28"/>
          <w:szCs w:val="28"/>
        </w:rPr>
        <w:t>老化管理</w:t>
      </w:r>
      <w:bookmarkEnd w:id="38"/>
      <w:bookmarkEnd w:id="39"/>
    </w:p>
    <w:p>
      <w:pPr>
        <w:ind w:firstLine="480" w:firstLineChars="200"/>
        <w:rPr>
          <w:rFonts w:ascii="Arial" w:hAnsi="Arial" w:cs="Times New Roman"/>
          <w:bCs/>
          <w:kern w:val="2"/>
          <w:sz w:val="24"/>
          <w:szCs w:val="24"/>
        </w:rPr>
      </w:pPr>
      <w:r>
        <w:rPr>
          <w:rFonts w:hint="eastAsia" w:ascii="Arial" w:hAnsi="Arial" w:cs="Times New Roman"/>
          <w:bCs/>
          <w:kern w:val="2"/>
          <w:sz w:val="24"/>
          <w:szCs w:val="24"/>
        </w:rPr>
        <w:t>供应商</w:t>
      </w:r>
      <w:r>
        <w:rPr>
          <w:rFonts w:hint="eastAsia" w:ascii="Arial" w:hAnsi="Arial" w:eastAsia="宋体" w:cs="Times New Roman"/>
          <w:bCs/>
          <w:kern w:val="2"/>
          <w:sz w:val="24"/>
          <w:szCs w:val="24"/>
        </w:rPr>
        <w:t>质保期内及时</w:t>
      </w:r>
      <w:r>
        <w:rPr>
          <w:rFonts w:hint="eastAsia" w:ascii="宋体" w:cs="宋体"/>
          <w:sz w:val="24"/>
          <w:szCs w:val="24"/>
        </w:rPr>
        <w:t>提供</w:t>
      </w:r>
      <w:r>
        <w:rPr>
          <w:rFonts w:hint="eastAsia" w:ascii="Arial" w:hAnsi="Arial" w:eastAsia="宋体" w:cs="Times New Roman"/>
          <w:bCs/>
          <w:kern w:val="2"/>
          <w:sz w:val="24"/>
          <w:szCs w:val="24"/>
        </w:rPr>
        <w:t>产品及备件的措施</w:t>
      </w:r>
      <w:r>
        <w:rPr>
          <w:rFonts w:hint="eastAsia" w:ascii="Arial" w:hAnsi="Arial" w:cs="Times New Roman"/>
          <w:bCs/>
          <w:kern w:val="2"/>
          <w:sz w:val="24"/>
          <w:szCs w:val="24"/>
        </w:rPr>
        <w:t>（产品升级后，功能可兼容老版产品）。</w:t>
      </w:r>
    </w:p>
    <w:p>
      <w:pPr>
        <w:ind w:firstLine="480" w:firstLineChars="200"/>
        <w:rPr>
          <w:rFonts w:ascii="Arial" w:hAnsi="Arial" w:eastAsia="宋体" w:cs="Times New Roman"/>
          <w:bCs/>
          <w:kern w:val="2"/>
          <w:sz w:val="24"/>
          <w:szCs w:val="24"/>
        </w:rPr>
      </w:pPr>
      <w:r>
        <w:rPr>
          <w:rFonts w:hint="eastAsia" w:ascii="Arial" w:hAnsi="Arial" w:cs="Times New Roman"/>
          <w:bCs/>
          <w:kern w:val="2"/>
          <w:sz w:val="24"/>
          <w:szCs w:val="24"/>
        </w:rPr>
        <w:t>如产品停止供应，供应商应提前至少6个月通知采购部。</w:t>
      </w:r>
    </w:p>
    <w:p>
      <w:pPr>
        <w:pStyle w:val="2"/>
        <w:ind w:left="432" w:hanging="432"/>
        <w:rPr>
          <w:sz w:val="28"/>
          <w:szCs w:val="28"/>
        </w:rPr>
      </w:pPr>
      <w:bookmarkStart w:id="40" w:name="_Toc27701"/>
      <w:bookmarkStart w:id="41" w:name="_Toc17142"/>
      <w:r>
        <w:rPr>
          <w:rFonts w:hint="eastAsia"/>
          <w:sz w:val="28"/>
          <w:szCs w:val="28"/>
        </w:rPr>
        <w:t>标识和可追溯性管理</w:t>
      </w:r>
      <w:bookmarkEnd w:id="40"/>
      <w:bookmarkEnd w:id="41"/>
    </w:p>
    <w:p>
      <w:pPr>
        <w:ind w:firstLine="480" w:firstLineChars="200"/>
        <w:rPr>
          <w:rFonts w:ascii="Arial" w:hAnsi="Arial" w:eastAsia="宋体" w:cs="Times New Roman"/>
          <w:b/>
          <w:kern w:val="2"/>
          <w:sz w:val="28"/>
          <w:szCs w:val="28"/>
        </w:rPr>
      </w:pPr>
      <w:r>
        <w:rPr>
          <w:rFonts w:hint="eastAsia" w:ascii="Arial" w:hAnsi="Arial" w:cs="Times New Roman"/>
          <w:bCs/>
          <w:kern w:val="2"/>
          <w:sz w:val="24"/>
          <w:szCs w:val="24"/>
        </w:rPr>
        <w:t>供应商</w:t>
      </w:r>
      <w:r>
        <w:rPr>
          <w:rFonts w:hint="eastAsia" w:ascii="宋体" w:cs="宋体"/>
          <w:sz w:val="24"/>
          <w:szCs w:val="24"/>
        </w:rPr>
        <w:t>产品应具有唯一标识，标识应制作在产品上，不能制作在产品上时，允许制作在包装物或适当的载体上，该类标识应与产品同步流转。标识的字迹清晰、准确，并</w:t>
      </w:r>
      <w:r>
        <w:rPr>
          <w:rFonts w:hint="eastAsia" w:ascii="宋体" w:cs="宋体"/>
          <w:sz w:val="24"/>
          <w:szCs w:val="24"/>
          <w:lang w:val="en-US" w:eastAsia="zh-CN"/>
        </w:rPr>
        <w:t>与</w:t>
      </w:r>
      <w:r>
        <w:rPr>
          <w:rFonts w:hint="eastAsia" w:ascii="宋体" w:cs="宋体"/>
          <w:sz w:val="24"/>
          <w:szCs w:val="24"/>
        </w:rPr>
        <w:t>产品技术资料相对应。</w:t>
      </w:r>
    </w:p>
    <w:p>
      <w:pPr>
        <w:pStyle w:val="2"/>
        <w:ind w:left="432" w:hanging="432"/>
        <w:rPr>
          <w:sz w:val="28"/>
          <w:szCs w:val="28"/>
        </w:rPr>
      </w:pPr>
      <w:bookmarkStart w:id="42" w:name="_Toc18695"/>
      <w:bookmarkStart w:id="43" w:name="_Toc24864"/>
      <w:r>
        <w:rPr>
          <w:rFonts w:hint="eastAsia"/>
          <w:sz w:val="28"/>
          <w:szCs w:val="28"/>
        </w:rPr>
        <w:t>产品防护要求</w:t>
      </w:r>
      <w:bookmarkEnd w:id="42"/>
      <w:bookmarkEnd w:id="43"/>
    </w:p>
    <w:p>
      <w:pPr>
        <w:pStyle w:val="3"/>
        <w:rPr>
          <w:b/>
          <w:bCs w:val="0"/>
          <w:szCs w:val="24"/>
        </w:rPr>
      </w:pPr>
      <w:bookmarkStart w:id="44" w:name="_Toc18293"/>
      <w:bookmarkStart w:id="45" w:name="_Toc20737"/>
      <w:r>
        <w:rPr>
          <w:rFonts w:hint="eastAsia"/>
          <w:b/>
          <w:bCs w:val="0"/>
          <w:szCs w:val="24"/>
        </w:rPr>
        <w:t>生产过程中的防护要求</w:t>
      </w:r>
      <w:bookmarkEnd w:id="44"/>
      <w:bookmarkEnd w:id="45"/>
    </w:p>
    <w:p>
      <w:pPr>
        <w:ind w:firstLine="480" w:firstLineChars="200"/>
        <w:rPr>
          <w:rFonts w:ascii="宋体" w:cs="宋体"/>
          <w:sz w:val="24"/>
          <w:szCs w:val="24"/>
        </w:rPr>
      </w:pPr>
      <w:r>
        <w:rPr>
          <w:rFonts w:hint="eastAsia" w:ascii="Arial" w:hAnsi="Arial" w:cs="Times New Roman"/>
          <w:bCs/>
          <w:kern w:val="2"/>
          <w:sz w:val="24"/>
          <w:szCs w:val="24"/>
        </w:rPr>
        <w:t>供应商</w:t>
      </w:r>
      <w:r>
        <w:rPr>
          <w:rFonts w:hint="eastAsia" w:ascii="宋体" w:cs="宋体"/>
          <w:sz w:val="24"/>
          <w:szCs w:val="24"/>
        </w:rPr>
        <w:t>搬运产品时，应先将流转防护工具/设备放置到位，对产品做到轻拿轻放，防止搬运过程因装卸动作粗暴而损伤产品。在装运物料前，应根据产品大小、数量、高度和宽度，确保产品在运输过程中无倒塌或压坏等现象。</w:t>
      </w:r>
    </w:p>
    <w:p>
      <w:pPr>
        <w:pStyle w:val="3"/>
        <w:rPr>
          <w:b/>
          <w:bCs w:val="0"/>
          <w:szCs w:val="24"/>
        </w:rPr>
      </w:pPr>
      <w:bookmarkStart w:id="46" w:name="_Toc1521"/>
      <w:bookmarkStart w:id="47" w:name="_Toc16113"/>
      <w:r>
        <w:rPr>
          <w:rFonts w:hint="eastAsia"/>
          <w:b/>
          <w:bCs w:val="0"/>
          <w:szCs w:val="24"/>
        </w:rPr>
        <w:t>包装和运输要求</w:t>
      </w:r>
      <w:bookmarkEnd w:id="46"/>
      <w:bookmarkEnd w:id="47"/>
    </w:p>
    <w:p>
      <w:pPr>
        <w:ind w:firstLine="480" w:firstLineChars="200"/>
      </w:pPr>
      <w:r>
        <w:rPr>
          <w:rFonts w:hint="eastAsia" w:ascii="Arial" w:hAnsi="Arial" w:cs="Times New Roman"/>
          <w:bCs/>
          <w:kern w:val="2"/>
          <w:sz w:val="24"/>
          <w:szCs w:val="24"/>
        </w:rPr>
        <w:t>供应商提供的</w:t>
      </w:r>
      <w:r>
        <w:rPr>
          <w:rFonts w:hint="eastAsia" w:ascii="宋体" w:cs="宋体"/>
          <w:sz w:val="24"/>
          <w:szCs w:val="24"/>
        </w:rPr>
        <w:t>产品应有包装箱，箱内应有防震、防潮措施，以保证产品不受损坏。</w:t>
      </w:r>
    </w:p>
    <w:p>
      <w:pPr>
        <w:pStyle w:val="2"/>
        <w:ind w:left="432" w:hanging="432"/>
        <w:rPr>
          <w:sz w:val="28"/>
          <w:szCs w:val="28"/>
        </w:rPr>
      </w:pPr>
      <w:bookmarkStart w:id="48" w:name="_Toc29659"/>
      <w:bookmarkStart w:id="49" w:name="_Toc9818"/>
      <w:r>
        <w:rPr>
          <w:rFonts w:hint="eastAsia"/>
          <w:sz w:val="28"/>
          <w:szCs w:val="28"/>
        </w:rPr>
        <w:t>主要风险及管控措施</w:t>
      </w:r>
      <w:bookmarkEnd w:id="48"/>
      <w:bookmarkEnd w:id="49"/>
    </w:p>
    <w:p>
      <w:pPr>
        <w:ind w:firstLine="480" w:firstLineChars="200"/>
        <w:rPr>
          <w:rFonts w:hint="eastAsia" w:ascii="宋体" w:cs="宋体"/>
          <w:sz w:val="24"/>
          <w:szCs w:val="24"/>
        </w:rPr>
      </w:pPr>
      <w:r>
        <w:rPr>
          <w:rFonts w:hint="eastAsia" w:ascii="宋体" w:cs="宋体"/>
          <w:sz w:val="24"/>
          <w:szCs w:val="24"/>
        </w:rPr>
        <w:t>可附PFMEA要求。</w:t>
      </w:r>
    </w:p>
    <w:p>
      <w:pPr>
        <w:ind w:firstLine="480" w:firstLineChars="200"/>
        <w:rPr>
          <w:rFonts w:hint="eastAsia" w:ascii="宋体" w:cs="宋体"/>
          <w:sz w:val="24"/>
          <w:szCs w:val="24"/>
        </w:rPr>
      </w:pPr>
    </w:p>
    <w:sectPr>
      <w:footerReference r:id="rId10" w:type="default"/>
      <w:pgSz w:w="11907" w:h="16840"/>
      <w:pgMar w:top="1571" w:right="1191" w:bottom="1247" w:left="1191" w:header="851" w:footer="567" w:gutter="567"/>
      <w:pgNumType w:start="1"/>
      <w:cols w:space="720" w:num="1"/>
      <w:docGrid w:linePitch="286" w:charSpace="5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360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framePr w:wrap="around" w:vAnchor="text" w:hAnchor="margin" w:xAlign="right" w:y="1"/>
      <w:rPr>
        <w:rStyle w:val="41"/>
      </w:rPr>
    </w:pPr>
    <w:r>
      <w:fldChar w:fldCharType="begin"/>
    </w:r>
    <w:r>
      <w:rPr>
        <w:rStyle w:val="41"/>
      </w:rPr>
      <w:instrText xml:space="preserve">PAGE  </w:instrText>
    </w:r>
    <w:r>
      <w:fldChar w:fldCharType="end"/>
    </w:r>
  </w:p>
  <w:p>
    <w:pPr>
      <w:pStyle w:val="2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360"/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6pebnPAAAABQEAAA8AAAAAAAAAAQAgAAAAIgAAAGRy&#10;cy9kb3ducmV2LnhtbFBLAQIUABQAAAAIAIdO4kCi5TuQ1QEAALQDAAAOAAAAAAAAAAEAIAAAAB4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360"/>
      <w:rPr>
        <w:sz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4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II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7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6pebnPAAAABQEAAA8AAAAAAAAAAQAgAAAAIgAAAGRycy9kb3ducmV2LnhtbFBL&#10;AQIUABQAAAAIAIdO4kAPfNvtxgEAAJ0DAAAOAAAAAAAAAAEAIAAAAB4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4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II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ind w:right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4"/>
                            <w:ind w:right="360"/>
                            <w:jc w:val="center"/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41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41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SECTIONPAGES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8"/>
                              <w:szCs w:val="21"/>
                            </w:rPr>
                            <w:t>7</w:t>
                          </w:r>
                          <w:r>
                            <w:rPr>
                              <w:sz w:val="18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NIka7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4"/>
                      <w:ind w:right="360"/>
                      <w:jc w:val="center"/>
                    </w:pP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第 </w:t>
                    </w: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41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41"/>
                        <w:sz w:val="18"/>
                        <w:szCs w:val="18"/>
                      </w:rPr>
                      <w:t>4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SECTIONPAGES   \* MERGEFORMAT</w:instrText>
                    </w:r>
                    <w:r>
                      <w:fldChar w:fldCharType="separate"/>
                    </w:r>
                    <w:r>
                      <w:rPr>
                        <w:sz w:val="18"/>
                        <w:szCs w:val="21"/>
                      </w:rPr>
                      <w:t>7</w:t>
                    </w:r>
                    <w:r>
                      <w:rPr>
                        <w:sz w:val="18"/>
                        <w:szCs w:val="21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-4445</wp:posOffset>
              </wp:positionH>
              <wp:positionV relativeFrom="paragraph">
                <wp:posOffset>-44450</wp:posOffset>
              </wp:positionV>
              <wp:extent cx="5691505" cy="0"/>
              <wp:effectExtent l="0" t="0" r="0" b="0"/>
              <wp:wrapSquare wrapText="bothSides"/>
              <wp:docPr id="10" name="直线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91505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24" o:spid="_x0000_s1026" o:spt="20" style="position:absolute;left:0pt;margin-left:-0.35pt;margin-top:-3.5pt;height:0pt;width:448.15pt;mso-wrap-distance-bottom:0pt;mso-wrap-distance-left:9pt;mso-wrap-distance-right:9pt;mso-wrap-distance-top:0pt;z-index:251659264;mso-width-relative:page;mso-height-relative:page;" filled="f" stroked="t" coordsize="21600,21600" o:gfxdata="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ppQmw1QAAAAcB&#10;AAAPAAAAAAAAAAEAIAAAACIAAABkcnMvZG93bnJldi54bWxQSwECFAAUAAAACACHTuJACBxudeUB&#10;AADfAwAADgAAAAAAAAABACAAAAAkAQAAZHJzL2Uyb0RvYy54bWxQSwUGAAAAAAYABgBZAQAAewUA&#10;AAAA&#10;">
              <v:fill on="f" focussize="0,0"/>
              <v:stroke color="#000000" joinstyle="round"/>
              <v:imagedata o:title=""/>
              <o:lock v:ext="edit" aspectratio="f"/>
              <w10:wrap type="squar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tabs>
        <w:tab w:val="right" w:pos="8946"/>
        <w:tab w:val="clear" w:pos="8640"/>
      </w:tabs>
      <w:wordWrap w:val="0"/>
      <w:spacing w:line="240" w:lineRule="auto"/>
      <w:ind w:right="12" w:firstLine="1094" w:firstLineChars="608"/>
      <w:jc w:val="right"/>
      <w:rPr>
        <w:rFonts w:ascii="仿宋" w:hAnsi="仿宋" w:eastAsia="仿宋" w:cs="仿宋"/>
        <w:sz w:val="18"/>
        <w:szCs w:val="18"/>
      </w:rPr>
    </w:pPr>
    <w:r>
      <w:rPr>
        <w:rFonts w:hint="eastAsia" w:ascii="仿宋_GB2312" w:eastAsia="仿宋_GB2312"/>
        <w:sz w:val="18"/>
        <w:szCs w:val="18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-60325</wp:posOffset>
          </wp:positionH>
          <wp:positionV relativeFrom="paragraph">
            <wp:posOffset>-168275</wp:posOffset>
          </wp:positionV>
          <wp:extent cx="712470" cy="461645"/>
          <wp:effectExtent l="0" t="0" r="11430" b="14605"/>
          <wp:wrapSquare wrapText="bothSides"/>
          <wp:docPr id="16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9"/>
                  <pic:cNvPicPr>
                    <a:picLocks noChangeAspect="1"/>
                  </pic:cNvPicPr>
                </pic:nvPicPr>
                <pic:blipFill>
                  <a:blip r:embed="rId1"/>
                  <a:srcRect l="7660" r="11873" b="-116"/>
                  <a:stretch>
                    <a:fillRect/>
                  </a:stretch>
                </pic:blipFill>
                <pic:spPr>
                  <a:xfrm>
                    <a:off x="0" y="0"/>
                    <a:ext cx="712470" cy="461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25"/>
      <w:pBdr>
        <w:bottom w:val="single" w:color="auto" w:sz="4" w:space="0"/>
      </w:pBdr>
      <w:tabs>
        <w:tab w:val="right" w:pos="8946"/>
        <w:tab w:val="clear" w:pos="8640"/>
      </w:tabs>
      <w:wordWrap w:val="0"/>
      <w:spacing w:line="240" w:lineRule="auto"/>
      <w:ind w:right="10" w:rightChars="5" w:firstLine="1094" w:firstLineChars="608"/>
      <w:jc w:val="right"/>
      <w:rPr>
        <w:rFonts w:ascii="宋体" w:hAnsi="宋体" w:eastAsia="仿宋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273CB4"/>
    <w:multiLevelType w:val="multilevel"/>
    <w:tmpl w:val="71273CB4"/>
    <w:lvl w:ilvl="0" w:tentative="0">
      <w:start w:val="1"/>
      <w:numFmt w:val="decimal"/>
      <w:pStyle w:val="2"/>
      <w:suff w:val="space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86"/>
        </w:tabs>
        <w:ind w:left="426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146"/>
        </w:tabs>
        <w:ind w:left="426" w:firstLine="0"/>
      </w:pPr>
      <w:rPr>
        <w:rFonts w:hint="eastAsia" w:eastAsia="宋体"/>
        <w:b w:val="0"/>
        <w:i w:val="0"/>
        <w:sz w:val="21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80"/>
        </w:tabs>
        <w:ind w:left="0" w:firstLine="0"/>
      </w:pPr>
      <w:rPr>
        <w:rFonts w:hint="eastAsia" w:ascii="宋体" w:hAnsi="宋体" w:eastAsia="宋体"/>
        <w:b w:val="0"/>
        <w:i w:val="0"/>
        <w:sz w:val="21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dit="forms" w:enforcement="1" w:cryptProviderType="rsaFull" w:cryptAlgorithmClass="hash" w:cryptAlgorithmType="typeAny" w:cryptAlgorithmSid="4" w:cryptSpinCount="0" w:hash="kXJOm+vPNULxaxtib7/DqohoEpA=" w:salt="7e7FDGVO8zFZpIUw5hx0Eg=="/>
  <w:defaultTabStop w:val="420"/>
  <w:drawingGridHorizontalSpacing w:val="213"/>
  <w:drawingGridVerticalSpacing w:val="143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5NzZhOTU5OWFiMmQ5ODc2MzhkOTU3OTY1NTQ2YmEifQ=="/>
  </w:docVars>
  <w:rsids>
    <w:rsidRoot w:val="00565428"/>
    <w:rsid w:val="00000562"/>
    <w:rsid w:val="00001E8E"/>
    <w:rsid w:val="000048B3"/>
    <w:rsid w:val="0002167D"/>
    <w:rsid w:val="00024067"/>
    <w:rsid w:val="00027A48"/>
    <w:rsid w:val="000319C4"/>
    <w:rsid w:val="00033292"/>
    <w:rsid w:val="00035926"/>
    <w:rsid w:val="00041EBC"/>
    <w:rsid w:val="00043AEB"/>
    <w:rsid w:val="00051A70"/>
    <w:rsid w:val="00051E55"/>
    <w:rsid w:val="00053E0E"/>
    <w:rsid w:val="00071A20"/>
    <w:rsid w:val="0007216C"/>
    <w:rsid w:val="000729A3"/>
    <w:rsid w:val="00080787"/>
    <w:rsid w:val="00082D57"/>
    <w:rsid w:val="000A0367"/>
    <w:rsid w:val="000A1C76"/>
    <w:rsid w:val="000A2D01"/>
    <w:rsid w:val="000A3A32"/>
    <w:rsid w:val="000B4723"/>
    <w:rsid w:val="000C22F5"/>
    <w:rsid w:val="000C5D66"/>
    <w:rsid w:val="000D1D93"/>
    <w:rsid w:val="000D41A1"/>
    <w:rsid w:val="000D5840"/>
    <w:rsid w:val="000E1F38"/>
    <w:rsid w:val="000E4428"/>
    <w:rsid w:val="000E583B"/>
    <w:rsid w:val="000E7EA7"/>
    <w:rsid w:val="001033FA"/>
    <w:rsid w:val="00103CAA"/>
    <w:rsid w:val="00106A12"/>
    <w:rsid w:val="001105FF"/>
    <w:rsid w:val="00111695"/>
    <w:rsid w:val="00136E72"/>
    <w:rsid w:val="001470F0"/>
    <w:rsid w:val="00147CEF"/>
    <w:rsid w:val="0015182C"/>
    <w:rsid w:val="00153BAE"/>
    <w:rsid w:val="0015606F"/>
    <w:rsid w:val="00162767"/>
    <w:rsid w:val="00165CB2"/>
    <w:rsid w:val="00171CC7"/>
    <w:rsid w:val="00173D04"/>
    <w:rsid w:val="00173D72"/>
    <w:rsid w:val="00177C91"/>
    <w:rsid w:val="00184F6F"/>
    <w:rsid w:val="00185E12"/>
    <w:rsid w:val="001864C4"/>
    <w:rsid w:val="00187312"/>
    <w:rsid w:val="001909F6"/>
    <w:rsid w:val="00195308"/>
    <w:rsid w:val="00195866"/>
    <w:rsid w:val="00196A3E"/>
    <w:rsid w:val="00197175"/>
    <w:rsid w:val="001A0D29"/>
    <w:rsid w:val="001A2D3D"/>
    <w:rsid w:val="001A62C3"/>
    <w:rsid w:val="001B40D0"/>
    <w:rsid w:val="001B4F5A"/>
    <w:rsid w:val="001C0516"/>
    <w:rsid w:val="001C2FF0"/>
    <w:rsid w:val="001D3212"/>
    <w:rsid w:val="001D5E98"/>
    <w:rsid w:val="001D6B79"/>
    <w:rsid w:val="001E0E46"/>
    <w:rsid w:val="001E43A1"/>
    <w:rsid w:val="001E52D7"/>
    <w:rsid w:val="001E5D5C"/>
    <w:rsid w:val="001F1F87"/>
    <w:rsid w:val="001F247B"/>
    <w:rsid w:val="001F2E8D"/>
    <w:rsid w:val="002024D0"/>
    <w:rsid w:val="0021082B"/>
    <w:rsid w:val="002122F9"/>
    <w:rsid w:val="002128C0"/>
    <w:rsid w:val="002130CC"/>
    <w:rsid w:val="002154A3"/>
    <w:rsid w:val="00224931"/>
    <w:rsid w:val="002276F9"/>
    <w:rsid w:val="00235EEF"/>
    <w:rsid w:val="00236435"/>
    <w:rsid w:val="00251ED9"/>
    <w:rsid w:val="00254633"/>
    <w:rsid w:val="002547EF"/>
    <w:rsid w:val="00265393"/>
    <w:rsid w:val="00265D6F"/>
    <w:rsid w:val="002677C4"/>
    <w:rsid w:val="00273919"/>
    <w:rsid w:val="002846B8"/>
    <w:rsid w:val="002911B9"/>
    <w:rsid w:val="00293644"/>
    <w:rsid w:val="00294A37"/>
    <w:rsid w:val="00294EA8"/>
    <w:rsid w:val="002A1BD5"/>
    <w:rsid w:val="002A501A"/>
    <w:rsid w:val="002B35F7"/>
    <w:rsid w:val="002B3DB6"/>
    <w:rsid w:val="002C3E4C"/>
    <w:rsid w:val="002C6F57"/>
    <w:rsid w:val="002D0E33"/>
    <w:rsid w:val="002D32FF"/>
    <w:rsid w:val="002D4AE5"/>
    <w:rsid w:val="002D6337"/>
    <w:rsid w:val="002E12B4"/>
    <w:rsid w:val="002E206D"/>
    <w:rsid w:val="002E4BE5"/>
    <w:rsid w:val="002E6075"/>
    <w:rsid w:val="002E6E80"/>
    <w:rsid w:val="002E7B2A"/>
    <w:rsid w:val="00300F9A"/>
    <w:rsid w:val="003165C5"/>
    <w:rsid w:val="00317F11"/>
    <w:rsid w:val="0032176F"/>
    <w:rsid w:val="00330BA1"/>
    <w:rsid w:val="00330D9F"/>
    <w:rsid w:val="003343CF"/>
    <w:rsid w:val="00334C2E"/>
    <w:rsid w:val="00341114"/>
    <w:rsid w:val="00346DAF"/>
    <w:rsid w:val="00351726"/>
    <w:rsid w:val="00353458"/>
    <w:rsid w:val="00355FB7"/>
    <w:rsid w:val="00376452"/>
    <w:rsid w:val="00377AAF"/>
    <w:rsid w:val="00392A39"/>
    <w:rsid w:val="00392C77"/>
    <w:rsid w:val="00394F80"/>
    <w:rsid w:val="00394FC6"/>
    <w:rsid w:val="00396DB4"/>
    <w:rsid w:val="00397733"/>
    <w:rsid w:val="003A0C61"/>
    <w:rsid w:val="003A2958"/>
    <w:rsid w:val="003A40B3"/>
    <w:rsid w:val="003A5B05"/>
    <w:rsid w:val="003A7227"/>
    <w:rsid w:val="003B650A"/>
    <w:rsid w:val="003D1BB4"/>
    <w:rsid w:val="003D3336"/>
    <w:rsid w:val="003E2972"/>
    <w:rsid w:val="003E3C92"/>
    <w:rsid w:val="003F0D83"/>
    <w:rsid w:val="003F119D"/>
    <w:rsid w:val="003F3B4D"/>
    <w:rsid w:val="003F7C77"/>
    <w:rsid w:val="0041454A"/>
    <w:rsid w:val="00416F85"/>
    <w:rsid w:val="00417064"/>
    <w:rsid w:val="00421AAA"/>
    <w:rsid w:val="004358DB"/>
    <w:rsid w:val="004403D3"/>
    <w:rsid w:val="004432AA"/>
    <w:rsid w:val="004438D1"/>
    <w:rsid w:val="00445C35"/>
    <w:rsid w:val="0045010D"/>
    <w:rsid w:val="004502E2"/>
    <w:rsid w:val="00463C4C"/>
    <w:rsid w:val="00473B82"/>
    <w:rsid w:val="00475BE4"/>
    <w:rsid w:val="004818F4"/>
    <w:rsid w:val="00482933"/>
    <w:rsid w:val="0048429F"/>
    <w:rsid w:val="0048538E"/>
    <w:rsid w:val="00486DC8"/>
    <w:rsid w:val="00486FCC"/>
    <w:rsid w:val="00487F32"/>
    <w:rsid w:val="004A2AC1"/>
    <w:rsid w:val="004B6418"/>
    <w:rsid w:val="004B6F37"/>
    <w:rsid w:val="004B7A78"/>
    <w:rsid w:val="004C0CE1"/>
    <w:rsid w:val="004C0DC0"/>
    <w:rsid w:val="004C4833"/>
    <w:rsid w:val="004C605F"/>
    <w:rsid w:val="004C7365"/>
    <w:rsid w:val="004D0481"/>
    <w:rsid w:val="004D1718"/>
    <w:rsid w:val="004D3FFB"/>
    <w:rsid w:val="004D75E8"/>
    <w:rsid w:val="004E0AF0"/>
    <w:rsid w:val="004E2F84"/>
    <w:rsid w:val="004E4456"/>
    <w:rsid w:val="004E50B6"/>
    <w:rsid w:val="004F1B44"/>
    <w:rsid w:val="004F5327"/>
    <w:rsid w:val="005037F0"/>
    <w:rsid w:val="00506FAB"/>
    <w:rsid w:val="00521C44"/>
    <w:rsid w:val="00523CE8"/>
    <w:rsid w:val="0052498A"/>
    <w:rsid w:val="00524B83"/>
    <w:rsid w:val="005407CE"/>
    <w:rsid w:val="00540AF7"/>
    <w:rsid w:val="00540E3A"/>
    <w:rsid w:val="0054217B"/>
    <w:rsid w:val="00546620"/>
    <w:rsid w:val="00555ADA"/>
    <w:rsid w:val="00565428"/>
    <w:rsid w:val="00567C8A"/>
    <w:rsid w:val="0057569A"/>
    <w:rsid w:val="00587287"/>
    <w:rsid w:val="005924EB"/>
    <w:rsid w:val="005949E3"/>
    <w:rsid w:val="0059659D"/>
    <w:rsid w:val="005A15B5"/>
    <w:rsid w:val="005B06D4"/>
    <w:rsid w:val="005B0F07"/>
    <w:rsid w:val="005B4681"/>
    <w:rsid w:val="005B6DEB"/>
    <w:rsid w:val="005D22F8"/>
    <w:rsid w:val="005D2BE5"/>
    <w:rsid w:val="005D3F19"/>
    <w:rsid w:val="005E5623"/>
    <w:rsid w:val="005F2AC6"/>
    <w:rsid w:val="0060106E"/>
    <w:rsid w:val="00610EDD"/>
    <w:rsid w:val="00611EF6"/>
    <w:rsid w:val="00612109"/>
    <w:rsid w:val="00613677"/>
    <w:rsid w:val="006156AE"/>
    <w:rsid w:val="00621BF4"/>
    <w:rsid w:val="00627FA2"/>
    <w:rsid w:val="0063237C"/>
    <w:rsid w:val="00644C3A"/>
    <w:rsid w:val="00660D03"/>
    <w:rsid w:val="00663CEE"/>
    <w:rsid w:val="00667DA4"/>
    <w:rsid w:val="00675942"/>
    <w:rsid w:val="006875E6"/>
    <w:rsid w:val="00694303"/>
    <w:rsid w:val="006A7BE9"/>
    <w:rsid w:val="006B045C"/>
    <w:rsid w:val="006B3D5B"/>
    <w:rsid w:val="006C1A6B"/>
    <w:rsid w:val="006C2C48"/>
    <w:rsid w:val="006C38BC"/>
    <w:rsid w:val="006D21A3"/>
    <w:rsid w:val="006D34CB"/>
    <w:rsid w:val="006D79E5"/>
    <w:rsid w:val="006E0320"/>
    <w:rsid w:val="006E17F3"/>
    <w:rsid w:val="006E3826"/>
    <w:rsid w:val="006E5641"/>
    <w:rsid w:val="006E5A56"/>
    <w:rsid w:val="006E6B3E"/>
    <w:rsid w:val="006F2E6A"/>
    <w:rsid w:val="006F2EF6"/>
    <w:rsid w:val="00706C0E"/>
    <w:rsid w:val="00707257"/>
    <w:rsid w:val="0071613B"/>
    <w:rsid w:val="00721BE3"/>
    <w:rsid w:val="007233C9"/>
    <w:rsid w:val="00735ACD"/>
    <w:rsid w:val="007403AF"/>
    <w:rsid w:val="007405F7"/>
    <w:rsid w:val="00741010"/>
    <w:rsid w:val="007414B5"/>
    <w:rsid w:val="007436A5"/>
    <w:rsid w:val="00744164"/>
    <w:rsid w:val="00750A1F"/>
    <w:rsid w:val="0075521C"/>
    <w:rsid w:val="007566A0"/>
    <w:rsid w:val="007612BE"/>
    <w:rsid w:val="00762968"/>
    <w:rsid w:val="00767751"/>
    <w:rsid w:val="00771D4E"/>
    <w:rsid w:val="007845E5"/>
    <w:rsid w:val="007A1EC5"/>
    <w:rsid w:val="007A4F18"/>
    <w:rsid w:val="007A57B3"/>
    <w:rsid w:val="007A5E01"/>
    <w:rsid w:val="007B384C"/>
    <w:rsid w:val="007B465F"/>
    <w:rsid w:val="007B6C9E"/>
    <w:rsid w:val="007C3B7A"/>
    <w:rsid w:val="007C52B2"/>
    <w:rsid w:val="007E7AD5"/>
    <w:rsid w:val="007F0162"/>
    <w:rsid w:val="007F01AF"/>
    <w:rsid w:val="007F1296"/>
    <w:rsid w:val="008002CE"/>
    <w:rsid w:val="008055F7"/>
    <w:rsid w:val="00811270"/>
    <w:rsid w:val="00811C01"/>
    <w:rsid w:val="00812381"/>
    <w:rsid w:val="00812D38"/>
    <w:rsid w:val="0081409D"/>
    <w:rsid w:val="008179B8"/>
    <w:rsid w:val="008202AA"/>
    <w:rsid w:val="00823775"/>
    <w:rsid w:val="00833C15"/>
    <w:rsid w:val="00835E30"/>
    <w:rsid w:val="008367CD"/>
    <w:rsid w:val="0084044B"/>
    <w:rsid w:val="00840758"/>
    <w:rsid w:val="00843198"/>
    <w:rsid w:val="00853883"/>
    <w:rsid w:val="0085459E"/>
    <w:rsid w:val="00855765"/>
    <w:rsid w:val="00872699"/>
    <w:rsid w:val="00877ACE"/>
    <w:rsid w:val="0088029D"/>
    <w:rsid w:val="0088707D"/>
    <w:rsid w:val="00891A5A"/>
    <w:rsid w:val="00895477"/>
    <w:rsid w:val="008A0389"/>
    <w:rsid w:val="008A37A5"/>
    <w:rsid w:val="008A6727"/>
    <w:rsid w:val="008C047B"/>
    <w:rsid w:val="008C7C4A"/>
    <w:rsid w:val="008D0DC3"/>
    <w:rsid w:val="008D4046"/>
    <w:rsid w:val="008D743E"/>
    <w:rsid w:val="008E106B"/>
    <w:rsid w:val="008E5CA1"/>
    <w:rsid w:val="008F0895"/>
    <w:rsid w:val="008F10D8"/>
    <w:rsid w:val="008F438F"/>
    <w:rsid w:val="008F7306"/>
    <w:rsid w:val="009006D9"/>
    <w:rsid w:val="00903226"/>
    <w:rsid w:val="00905AC5"/>
    <w:rsid w:val="00911B93"/>
    <w:rsid w:val="00920012"/>
    <w:rsid w:val="009223E1"/>
    <w:rsid w:val="00930F50"/>
    <w:rsid w:val="00934E90"/>
    <w:rsid w:val="009363D0"/>
    <w:rsid w:val="00936BB6"/>
    <w:rsid w:val="00944DC6"/>
    <w:rsid w:val="0094653C"/>
    <w:rsid w:val="00957DE4"/>
    <w:rsid w:val="009629F6"/>
    <w:rsid w:val="00962C58"/>
    <w:rsid w:val="00963FB4"/>
    <w:rsid w:val="00965930"/>
    <w:rsid w:val="00966357"/>
    <w:rsid w:val="0097032C"/>
    <w:rsid w:val="00973AE5"/>
    <w:rsid w:val="0097449A"/>
    <w:rsid w:val="00976E74"/>
    <w:rsid w:val="00983100"/>
    <w:rsid w:val="00990A51"/>
    <w:rsid w:val="009914F4"/>
    <w:rsid w:val="00996C09"/>
    <w:rsid w:val="00997887"/>
    <w:rsid w:val="009B4DFA"/>
    <w:rsid w:val="009B693B"/>
    <w:rsid w:val="009C4547"/>
    <w:rsid w:val="009C4936"/>
    <w:rsid w:val="009C4B9E"/>
    <w:rsid w:val="009D504C"/>
    <w:rsid w:val="009D54A5"/>
    <w:rsid w:val="009D7C38"/>
    <w:rsid w:val="009E3249"/>
    <w:rsid w:val="009E4A63"/>
    <w:rsid w:val="009E7576"/>
    <w:rsid w:val="009E7AC9"/>
    <w:rsid w:val="009F100E"/>
    <w:rsid w:val="009F33D0"/>
    <w:rsid w:val="009F3751"/>
    <w:rsid w:val="009F3B56"/>
    <w:rsid w:val="00A029CB"/>
    <w:rsid w:val="00A04019"/>
    <w:rsid w:val="00A0492D"/>
    <w:rsid w:val="00A14E3A"/>
    <w:rsid w:val="00A21EBA"/>
    <w:rsid w:val="00A22AB1"/>
    <w:rsid w:val="00A2642B"/>
    <w:rsid w:val="00A2646C"/>
    <w:rsid w:val="00A40409"/>
    <w:rsid w:val="00A407A0"/>
    <w:rsid w:val="00A40B84"/>
    <w:rsid w:val="00A443FF"/>
    <w:rsid w:val="00A52F61"/>
    <w:rsid w:val="00A53A5A"/>
    <w:rsid w:val="00A57F86"/>
    <w:rsid w:val="00A60C3D"/>
    <w:rsid w:val="00A620D0"/>
    <w:rsid w:val="00A643DF"/>
    <w:rsid w:val="00A64A3A"/>
    <w:rsid w:val="00A66CD2"/>
    <w:rsid w:val="00A73790"/>
    <w:rsid w:val="00A777DC"/>
    <w:rsid w:val="00A90AA9"/>
    <w:rsid w:val="00AA120F"/>
    <w:rsid w:val="00AA4674"/>
    <w:rsid w:val="00AB0F48"/>
    <w:rsid w:val="00AC0D1F"/>
    <w:rsid w:val="00AC2096"/>
    <w:rsid w:val="00AC225F"/>
    <w:rsid w:val="00AC437E"/>
    <w:rsid w:val="00AC6B52"/>
    <w:rsid w:val="00AD1A81"/>
    <w:rsid w:val="00AD3427"/>
    <w:rsid w:val="00AD3E2C"/>
    <w:rsid w:val="00AD5711"/>
    <w:rsid w:val="00AD72A8"/>
    <w:rsid w:val="00AE6EBE"/>
    <w:rsid w:val="00AE7A8D"/>
    <w:rsid w:val="00AF27C4"/>
    <w:rsid w:val="00AF6015"/>
    <w:rsid w:val="00B02014"/>
    <w:rsid w:val="00B07959"/>
    <w:rsid w:val="00B10082"/>
    <w:rsid w:val="00B10F21"/>
    <w:rsid w:val="00B21409"/>
    <w:rsid w:val="00B23EB0"/>
    <w:rsid w:val="00B42BF9"/>
    <w:rsid w:val="00B51502"/>
    <w:rsid w:val="00B518C4"/>
    <w:rsid w:val="00B558EA"/>
    <w:rsid w:val="00B56F9E"/>
    <w:rsid w:val="00B6524D"/>
    <w:rsid w:val="00B65ED2"/>
    <w:rsid w:val="00B71732"/>
    <w:rsid w:val="00B746DE"/>
    <w:rsid w:val="00B75130"/>
    <w:rsid w:val="00B7594E"/>
    <w:rsid w:val="00B7796B"/>
    <w:rsid w:val="00B77DE5"/>
    <w:rsid w:val="00B81F98"/>
    <w:rsid w:val="00B84705"/>
    <w:rsid w:val="00B84F45"/>
    <w:rsid w:val="00B85592"/>
    <w:rsid w:val="00B9193B"/>
    <w:rsid w:val="00B93C6E"/>
    <w:rsid w:val="00B93E95"/>
    <w:rsid w:val="00BA062C"/>
    <w:rsid w:val="00BA47C6"/>
    <w:rsid w:val="00BA56DC"/>
    <w:rsid w:val="00BA6CBB"/>
    <w:rsid w:val="00BB20ED"/>
    <w:rsid w:val="00BB2B2B"/>
    <w:rsid w:val="00BB65EC"/>
    <w:rsid w:val="00BC1153"/>
    <w:rsid w:val="00BD1A22"/>
    <w:rsid w:val="00BE1342"/>
    <w:rsid w:val="00BF4380"/>
    <w:rsid w:val="00C01E28"/>
    <w:rsid w:val="00C10B20"/>
    <w:rsid w:val="00C12029"/>
    <w:rsid w:val="00C13327"/>
    <w:rsid w:val="00C1496E"/>
    <w:rsid w:val="00C15800"/>
    <w:rsid w:val="00C15A7B"/>
    <w:rsid w:val="00C168C4"/>
    <w:rsid w:val="00C1762F"/>
    <w:rsid w:val="00C2464B"/>
    <w:rsid w:val="00C30CC4"/>
    <w:rsid w:val="00C31677"/>
    <w:rsid w:val="00C32451"/>
    <w:rsid w:val="00C341E2"/>
    <w:rsid w:val="00C36769"/>
    <w:rsid w:val="00C375FD"/>
    <w:rsid w:val="00C41A3F"/>
    <w:rsid w:val="00C449DA"/>
    <w:rsid w:val="00C5036C"/>
    <w:rsid w:val="00C528E7"/>
    <w:rsid w:val="00C52D7A"/>
    <w:rsid w:val="00C55E11"/>
    <w:rsid w:val="00C568E7"/>
    <w:rsid w:val="00C57E67"/>
    <w:rsid w:val="00C602F8"/>
    <w:rsid w:val="00C624C4"/>
    <w:rsid w:val="00C62707"/>
    <w:rsid w:val="00C62EDA"/>
    <w:rsid w:val="00C638ED"/>
    <w:rsid w:val="00C77E48"/>
    <w:rsid w:val="00C90C20"/>
    <w:rsid w:val="00C93C51"/>
    <w:rsid w:val="00C964E9"/>
    <w:rsid w:val="00CA2AA9"/>
    <w:rsid w:val="00CA2C1A"/>
    <w:rsid w:val="00CA3776"/>
    <w:rsid w:val="00CA474F"/>
    <w:rsid w:val="00CC7761"/>
    <w:rsid w:val="00CD23E4"/>
    <w:rsid w:val="00CD317C"/>
    <w:rsid w:val="00CD3471"/>
    <w:rsid w:val="00CD37D2"/>
    <w:rsid w:val="00CD6CBF"/>
    <w:rsid w:val="00CE0F82"/>
    <w:rsid w:val="00CE115A"/>
    <w:rsid w:val="00CE3FFB"/>
    <w:rsid w:val="00CE5BA0"/>
    <w:rsid w:val="00CF12AB"/>
    <w:rsid w:val="00CF4D1F"/>
    <w:rsid w:val="00CF50BD"/>
    <w:rsid w:val="00D00D0A"/>
    <w:rsid w:val="00D01989"/>
    <w:rsid w:val="00D021F3"/>
    <w:rsid w:val="00D07643"/>
    <w:rsid w:val="00D07E76"/>
    <w:rsid w:val="00D10837"/>
    <w:rsid w:val="00D13773"/>
    <w:rsid w:val="00D17B7D"/>
    <w:rsid w:val="00D275D2"/>
    <w:rsid w:val="00D3246E"/>
    <w:rsid w:val="00D373CB"/>
    <w:rsid w:val="00D41261"/>
    <w:rsid w:val="00D4756A"/>
    <w:rsid w:val="00D5017A"/>
    <w:rsid w:val="00D572BE"/>
    <w:rsid w:val="00D63C7E"/>
    <w:rsid w:val="00D66A70"/>
    <w:rsid w:val="00D7372E"/>
    <w:rsid w:val="00D76D13"/>
    <w:rsid w:val="00D8302D"/>
    <w:rsid w:val="00D868D2"/>
    <w:rsid w:val="00D90B1E"/>
    <w:rsid w:val="00D95358"/>
    <w:rsid w:val="00DA196B"/>
    <w:rsid w:val="00DA1CF8"/>
    <w:rsid w:val="00DA2A70"/>
    <w:rsid w:val="00DA7573"/>
    <w:rsid w:val="00DA7E55"/>
    <w:rsid w:val="00DB04EE"/>
    <w:rsid w:val="00DB7531"/>
    <w:rsid w:val="00DB791F"/>
    <w:rsid w:val="00DC2A2E"/>
    <w:rsid w:val="00DC3CF8"/>
    <w:rsid w:val="00DD036F"/>
    <w:rsid w:val="00DD2004"/>
    <w:rsid w:val="00DD78C5"/>
    <w:rsid w:val="00DD7C1A"/>
    <w:rsid w:val="00DE4DA7"/>
    <w:rsid w:val="00DE6549"/>
    <w:rsid w:val="00DE762B"/>
    <w:rsid w:val="00DE7997"/>
    <w:rsid w:val="00DF0E40"/>
    <w:rsid w:val="00DF2B35"/>
    <w:rsid w:val="00DF4F39"/>
    <w:rsid w:val="00E025CA"/>
    <w:rsid w:val="00E11785"/>
    <w:rsid w:val="00E11D9A"/>
    <w:rsid w:val="00E15CE8"/>
    <w:rsid w:val="00E20BBD"/>
    <w:rsid w:val="00E31500"/>
    <w:rsid w:val="00E3404A"/>
    <w:rsid w:val="00E34AFC"/>
    <w:rsid w:val="00E47904"/>
    <w:rsid w:val="00E5303C"/>
    <w:rsid w:val="00E53AAE"/>
    <w:rsid w:val="00E6099C"/>
    <w:rsid w:val="00E73FDF"/>
    <w:rsid w:val="00E756FF"/>
    <w:rsid w:val="00E75F44"/>
    <w:rsid w:val="00E922D8"/>
    <w:rsid w:val="00E94199"/>
    <w:rsid w:val="00E943C8"/>
    <w:rsid w:val="00E94900"/>
    <w:rsid w:val="00E94CE9"/>
    <w:rsid w:val="00EA1396"/>
    <w:rsid w:val="00EB218E"/>
    <w:rsid w:val="00EB4791"/>
    <w:rsid w:val="00EB72FE"/>
    <w:rsid w:val="00EC0684"/>
    <w:rsid w:val="00EC1902"/>
    <w:rsid w:val="00EC34AC"/>
    <w:rsid w:val="00ED0B86"/>
    <w:rsid w:val="00ED14D4"/>
    <w:rsid w:val="00EE02BB"/>
    <w:rsid w:val="00EE1171"/>
    <w:rsid w:val="00EE1CF9"/>
    <w:rsid w:val="00EE43FE"/>
    <w:rsid w:val="00EE4896"/>
    <w:rsid w:val="00EF160A"/>
    <w:rsid w:val="00EF29A2"/>
    <w:rsid w:val="00EF7C3F"/>
    <w:rsid w:val="00F03F6D"/>
    <w:rsid w:val="00F0401B"/>
    <w:rsid w:val="00F052BC"/>
    <w:rsid w:val="00F133CB"/>
    <w:rsid w:val="00F13BAD"/>
    <w:rsid w:val="00F14CCB"/>
    <w:rsid w:val="00F17F7A"/>
    <w:rsid w:val="00F23F41"/>
    <w:rsid w:val="00F309E0"/>
    <w:rsid w:val="00F357F5"/>
    <w:rsid w:val="00F365CF"/>
    <w:rsid w:val="00F41263"/>
    <w:rsid w:val="00F41742"/>
    <w:rsid w:val="00F5296A"/>
    <w:rsid w:val="00F54474"/>
    <w:rsid w:val="00F5747E"/>
    <w:rsid w:val="00F61671"/>
    <w:rsid w:val="00F64056"/>
    <w:rsid w:val="00F655EF"/>
    <w:rsid w:val="00F75573"/>
    <w:rsid w:val="00F7575A"/>
    <w:rsid w:val="00F805EA"/>
    <w:rsid w:val="00F8307E"/>
    <w:rsid w:val="00F83E48"/>
    <w:rsid w:val="00F83F32"/>
    <w:rsid w:val="00F85A98"/>
    <w:rsid w:val="00FA000C"/>
    <w:rsid w:val="00FB1F68"/>
    <w:rsid w:val="00FB471C"/>
    <w:rsid w:val="00FD1DDB"/>
    <w:rsid w:val="00FD4E16"/>
    <w:rsid w:val="00FE6F32"/>
    <w:rsid w:val="00FF2B85"/>
    <w:rsid w:val="00FF2D28"/>
    <w:rsid w:val="00FF342B"/>
    <w:rsid w:val="00FF5476"/>
    <w:rsid w:val="01267EB4"/>
    <w:rsid w:val="01BF4F54"/>
    <w:rsid w:val="025D771B"/>
    <w:rsid w:val="027141D5"/>
    <w:rsid w:val="030B5ACF"/>
    <w:rsid w:val="03453D84"/>
    <w:rsid w:val="07F357DA"/>
    <w:rsid w:val="08334D64"/>
    <w:rsid w:val="09400E97"/>
    <w:rsid w:val="09A5397D"/>
    <w:rsid w:val="0A111A05"/>
    <w:rsid w:val="0C172066"/>
    <w:rsid w:val="0C981078"/>
    <w:rsid w:val="0D2D48BF"/>
    <w:rsid w:val="0D617CA8"/>
    <w:rsid w:val="0D7E28ED"/>
    <w:rsid w:val="106D0FDE"/>
    <w:rsid w:val="10725EA8"/>
    <w:rsid w:val="10A446C7"/>
    <w:rsid w:val="12126580"/>
    <w:rsid w:val="12517145"/>
    <w:rsid w:val="1263610F"/>
    <w:rsid w:val="13A76031"/>
    <w:rsid w:val="15AC4965"/>
    <w:rsid w:val="15F667DD"/>
    <w:rsid w:val="171929FF"/>
    <w:rsid w:val="172B6790"/>
    <w:rsid w:val="17F03D90"/>
    <w:rsid w:val="183B12B7"/>
    <w:rsid w:val="1891280A"/>
    <w:rsid w:val="18C22A98"/>
    <w:rsid w:val="18DE5E98"/>
    <w:rsid w:val="19082825"/>
    <w:rsid w:val="19637AAF"/>
    <w:rsid w:val="19EC2827"/>
    <w:rsid w:val="19FF7623"/>
    <w:rsid w:val="1B0E69EB"/>
    <w:rsid w:val="1C17591D"/>
    <w:rsid w:val="1CB05C8F"/>
    <w:rsid w:val="1DCE18BD"/>
    <w:rsid w:val="1E5D4E9F"/>
    <w:rsid w:val="1F11471C"/>
    <w:rsid w:val="20094BE9"/>
    <w:rsid w:val="20945461"/>
    <w:rsid w:val="22A930F1"/>
    <w:rsid w:val="231E12AE"/>
    <w:rsid w:val="23483CBB"/>
    <w:rsid w:val="245D5F94"/>
    <w:rsid w:val="24D863E2"/>
    <w:rsid w:val="28AC6D35"/>
    <w:rsid w:val="292C2A65"/>
    <w:rsid w:val="29645069"/>
    <w:rsid w:val="297C1D87"/>
    <w:rsid w:val="29C13397"/>
    <w:rsid w:val="2A413CA5"/>
    <w:rsid w:val="2A4D6A33"/>
    <w:rsid w:val="2A6558CD"/>
    <w:rsid w:val="2AB83FAB"/>
    <w:rsid w:val="2AE33E50"/>
    <w:rsid w:val="2B325CC2"/>
    <w:rsid w:val="2C4448E5"/>
    <w:rsid w:val="2CB7056E"/>
    <w:rsid w:val="31F12637"/>
    <w:rsid w:val="33E6497F"/>
    <w:rsid w:val="342F3A66"/>
    <w:rsid w:val="34870AA4"/>
    <w:rsid w:val="34900FB5"/>
    <w:rsid w:val="34B71830"/>
    <w:rsid w:val="34E338F0"/>
    <w:rsid w:val="35B86B4B"/>
    <w:rsid w:val="35D15041"/>
    <w:rsid w:val="361946D4"/>
    <w:rsid w:val="362E26CE"/>
    <w:rsid w:val="36581311"/>
    <w:rsid w:val="36CD30A8"/>
    <w:rsid w:val="37D64D5C"/>
    <w:rsid w:val="3A2510AE"/>
    <w:rsid w:val="3A7E460D"/>
    <w:rsid w:val="3ACF0BA8"/>
    <w:rsid w:val="3B1F46CE"/>
    <w:rsid w:val="3BA723DD"/>
    <w:rsid w:val="3BCA038C"/>
    <w:rsid w:val="3C2C6184"/>
    <w:rsid w:val="3D3C5AAD"/>
    <w:rsid w:val="3E043F5A"/>
    <w:rsid w:val="3EA23F84"/>
    <w:rsid w:val="3F88172D"/>
    <w:rsid w:val="3FDA6497"/>
    <w:rsid w:val="40301770"/>
    <w:rsid w:val="412136D6"/>
    <w:rsid w:val="415E4445"/>
    <w:rsid w:val="418F3DA3"/>
    <w:rsid w:val="426B2BA1"/>
    <w:rsid w:val="43625BA6"/>
    <w:rsid w:val="43732B2F"/>
    <w:rsid w:val="43DD14A5"/>
    <w:rsid w:val="440B1F94"/>
    <w:rsid w:val="45E235CA"/>
    <w:rsid w:val="46105FC0"/>
    <w:rsid w:val="46450DA9"/>
    <w:rsid w:val="47DA5A7D"/>
    <w:rsid w:val="48441F48"/>
    <w:rsid w:val="48E839CB"/>
    <w:rsid w:val="4AB3798D"/>
    <w:rsid w:val="4B67730B"/>
    <w:rsid w:val="4C494ECE"/>
    <w:rsid w:val="4DFE42FC"/>
    <w:rsid w:val="4E076FD7"/>
    <w:rsid w:val="4F92034C"/>
    <w:rsid w:val="50575F45"/>
    <w:rsid w:val="5079727B"/>
    <w:rsid w:val="50845E4F"/>
    <w:rsid w:val="50891243"/>
    <w:rsid w:val="51316082"/>
    <w:rsid w:val="51BE5278"/>
    <w:rsid w:val="52447207"/>
    <w:rsid w:val="527B6A6B"/>
    <w:rsid w:val="52ED6391"/>
    <w:rsid w:val="530F5FEC"/>
    <w:rsid w:val="534E5839"/>
    <w:rsid w:val="539E29F5"/>
    <w:rsid w:val="53A005FF"/>
    <w:rsid w:val="53E20D7F"/>
    <w:rsid w:val="53EA5D31"/>
    <w:rsid w:val="55ED413C"/>
    <w:rsid w:val="56454980"/>
    <w:rsid w:val="57AF64B1"/>
    <w:rsid w:val="57DF0AFE"/>
    <w:rsid w:val="599776E9"/>
    <w:rsid w:val="5B6D1201"/>
    <w:rsid w:val="5BA32764"/>
    <w:rsid w:val="5C16338F"/>
    <w:rsid w:val="5CB02220"/>
    <w:rsid w:val="5CBA0FF0"/>
    <w:rsid w:val="5D365FCD"/>
    <w:rsid w:val="5D8D4C3B"/>
    <w:rsid w:val="5E3B22ED"/>
    <w:rsid w:val="60AD1AD8"/>
    <w:rsid w:val="61277F4C"/>
    <w:rsid w:val="61BC02FE"/>
    <w:rsid w:val="62945EDD"/>
    <w:rsid w:val="633039B6"/>
    <w:rsid w:val="63532315"/>
    <w:rsid w:val="63B47FF0"/>
    <w:rsid w:val="65103F1D"/>
    <w:rsid w:val="654414B6"/>
    <w:rsid w:val="6588393D"/>
    <w:rsid w:val="66682D36"/>
    <w:rsid w:val="67691EF5"/>
    <w:rsid w:val="69F26EB1"/>
    <w:rsid w:val="6A600A33"/>
    <w:rsid w:val="6AE36FF0"/>
    <w:rsid w:val="6B6B1BB8"/>
    <w:rsid w:val="6C447EBC"/>
    <w:rsid w:val="6DB73A80"/>
    <w:rsid w:val="6E093FCC"/>
    <w:rsid w:val="6E0D1C2A"/>
    <w:rsid w:val="6FC768AC"/>
    <w:rsid w:val="70873EE6"/>
    <w:rsid w:val="70A204D5"/>
    <w:rsid w:val="70A94F79"/>
    <w:rsid w:val="70E24FFF"/>
    <w:rsid w:val="72494860"/>
    <w:rsid w:val="73A330CC"/>
    <w:rsid w:val="749D712B"/>
    <w:rsid w:val="74B010A2"/>
    <w:rsid w:val="752D6C4A"/>
    <w:rsid w:val="760B136D"/>
    <w:rsid w:val="7710401D"/>
    <w:rsid w:val="7758744C"/>
    <w:rsid w:val="77BA483E"/>
    <w:rsid w:val="791B6C48"/>
    <w:rsid w:val="798E2ABE"/>
    <w:rsid w:val="7B8302DC"/>
    <w:rsid w:val="7BF04175"/>
    <w:rsid w:val="7D81796F"/>
    <w:rsid w:val="7DD04C57"/>
    <w:rsid w:val="7DE86072"/>
    <w:rsid w:val="7EBD12BC"/>
    <w:rsid w:val="7F6450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name="toc 2"/>
    <w:lsdException w:qFormat="1" w:unhideWhenUsed="0" w:uiPriority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Theme="minorHAnsi" w:hAnsiTheme="minorHAnsi" w:eastAsiaTheme="minorEastAsia" w:cstheme="minorBidi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="120" w:after="60"/>
      <w:outlineLvl w:val="0"/>
    </w:pPr>
    <w:rPr>
      <w:rFonts w:ascii="Arial" w:hAnsi="Arial"/>
      <w:b/>
    </w:rPr>
  </w:style>
  <w:style w:type="paragraph" w:styleId="3">
    <w:name w:val="heading 2"/>
    <w:basedOn w:val="1"/>
    <w:next w:val="1"/>
    <w:qFormat/>
    <w:uiPriority w:val="0"/>
    <w:pPr>
      <w:numPr>
        <w:ilvl w:val="1"/>
        <w:numId w:val="1"/>
      </w:numPr>
      <w:ind w:left="425"/>
      <w:outlineLvl w:val="1"/>
    </w:pPr>
    <w:rPr>
      <w:rFonts w:eastAsia="宋体"/>
      <w:bCs/>
      <w:sz w:val="24"/>
    </w:rPr>
  </w:style>
  <w:style w:type="paragraph" w:styleId="4">
    <w:name w:val="heading 3"/>
    <w:basedOn w:val="1"/>
    <w:next w:val="1"/>
    <w:qFormat/>
    <w:uiPriority w:val="0"/>
    <w:pPr>
      <w:tabs>
        <w:tab w:val="left" w:pos="786"/>
      </w:tabs>
      <w:jc w:val="both"/>
      <w:outlineLvl w:val="2"/>
    </w:pPr>
    <w:rPr>
      <w:rFonts w:ascii="Times New Roman" w:hAnsi="Times New Roman" w:eastAsia="仿宋_GB2312"/>
      <w:b/>
      <w:sz w:val="24"/>
      <w:szCs w:val="24"/>
    </w:rPr>
  </w:style>
  <w:style w:type="paragraph" w:styleId="5">
    <w:name w:val="heading 4"/>
    <w:basedOn w:val="2"/>
    <w:next w:val="1"/>
    <w:qFormat/>
    <w:uiPriority w:val="0"/>
    <w:pPr>
      <w:numPr>
        <w:ilvl w:val="3"/>
      </w:numPr>
      <w:outlineLvl w:val="3"/>
    </w:pPr>
    <w:rPr>
      <w:b w:val="0"/>
      <w:sz w:val="20"/>
    </w:rPr>
  </w:style>
  <w:style w:type="paragraph" w:styleId="6">
    <w:name w:val="heading 5"/>
    <w:basedOn w:val="1"/>
    <w:next w:val="1"/>
    <w:qFormat/>
    <w:uiPriority w:val="0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7">
    <w:name w:val="heading 6"/>
    <w:basedOn w:val="1"/>
    <w:next w:val="1"/>
    <w:qFormat/>
    <w:uiPriority w:val="0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8">
    <w:name w:val="heading 7"/>
    <w:basedOn w:val="1"/>
    <w:next w:val="1"/>
    <w:qFormat/>
    <w:uiPriority w:val="0"/>
    <w:pPr>
      <w:numPr>
        <w:ilvl w:val="6"/>
        <w:numId w:val="1"/>
      </w:numPr>
      <w:spacing w:before="240" w:after="60"/>
      <w:outlineLvl w:val="6"/>
    </w:pPr>
  </w:style>
  <w:style w:type="paragraph" w:styleId="9">
    <w:name w:val="heading 8"/>
    <w:basedOn w:val="1"/>
    <w:next w:val="1"/>
    <w:qFormat/>
    <w:uiPriority w:val="0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10">
    <w:name w:val="heading 9"/>
    <w:basedOn w:val="1"/>
    <w:next w:val="1"/>
    <w:qFormat/>
    <w:uiPriority w:val="0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qFormat/>
    <w:uiPriority w:val="0"/>
    <w:pPr>
      <w:ind w:left="1200"/>
    </w:pPr>
    <w:rPr>
      <w:sz w:val="18"/>
    </w:rPr>
  </w:style>
  <w:style w:type="paragraph" w:styleId="12">
    <w:name w:val="Normal Indent"/>
    <w:basedOn w:val="1"/>
    <w:qFormat/>
    <w:uiPriority w:val="0"/>
    <w:pPr>
      <w:ind w:left="900" w:hanging="900"/>
    </w:pPr>
  </w:style>
  <w:style w:type="paragraph" w:styleId="13">
    <w:name w:val="Document Map"/>
    <w:basedOn w:val="1"/>
    <w:semiHidden/>
    <w:qFormat/>
    <w:uiPriority w:val="0"/>
    <w:pPr>
      <w:shd w:val="clear" w:color="auto" w:fill="000080"/>
    </w:pPr>
    <w:rPr>
      <w:rFonts w:ascii="Tahoma" w:hAnsi="Tahoma"/>
    </w:rPr>
  </w:style>
  <w:style w:type="paragraph" w:styleId="14">
    <w:name w:val="annotation text"/>
    <w:basedOn w:val="1"/>
    <w:link w:val="66"/>
    <w:qFormat/>
    <w:uiPriority w:val="0"/>
  </w:style>
  <w:style w:type="paragraph" w:styleId="15">
    <w:name w:val="Body Text"/>
    <w:basedOn w:val="1"/>
    <w:qFormat/>
    <w:uiPriority w:val="0"/>
    <w:pPr>
      <w:keepLines/>
      <w:spacing w:after="120"/>
      <w:ind w:left="720"/>
    </w:pPr>
  </w:style>
  <w:style w:type="paragraph" w:styleId="16">
    <w:name w:val="Body Text Indent"/>
    <w:basedOn w:val="1"/>
    <w:qFormat/>
    <w:uiPriority w:val="0"/>
    <w:pPr>
      <w:ind w:left="720"/>
    </w:pPr>
    <w:rPr>
      <w:i/>
      <w:color w:val="0000FF"/>
      <w:u w:val="single"/>
    </w:rPr>
  </w:style>
  <w:style w:type="paragraph" w:styleId="17">
    <w:name w:val="toc 5"/>
    <w:basedOn w:val="1"/>
    <w:next w:val="1"/>
    <w:semiHidden/>
    <w:qFormat/>
    <w:uiPriority w:val="0"/>
    <w:pPr>
      <w:ind w:left="800"/>
    </w:pPr>
    <w:rPr>
      <w:sz w:val="18"/>
    </w:rPr>
  </w:style>
  <w:style w:type="paragraph" w:styleId="18">
    <w:name w:val="toc 3"/>
    <w:basedOn w:val="1"/>
    <w:next w:val="1"/>
    <w:semiHidden/>
    <w:qFormat/>
    <w:uiPriority w:val="0"/>
    <w:pPr>
      <w:ind w:left="400"/>
    </w:pPr>
    <w:rPr>
      <w:i/>
    </w:rPr>
  </w:style>
  <w:style w:type="paragraph" w:styleId="19">
    <w:name w:val="Plain Text"/>
    <w:basedOn w:val="1"/>
    <w:qFormat/>
    <w:uiPriority w:val="0"/>
    <w:rPr>
      <w:rFonts w:ascii="宋体" w:hAnsi="Courier New"/>
    </w:rPr>
  </w:style>
  <w:style w:type="paragraph" w:styleId="20">
    <w:name w:val="toc 8"/>
    <w:basedOn w:val="1"/>
    <w:next w:val="1"/>
    <w:semiHidden/>
    <w:qFormat/>
    <w:uiPriority w:val="0"/>
    <w:pPr>
      <w:ind w:left="1400"/>
    </w:pPr>
    <w:rPr>
      <w:sz w:val="18"/>
    </w:rPr>
  </w:style>
  <w:style w:type="paragraph" w:styleId="21">
    <w:name w:val="Date"/>
    <w:basedOn w:val="1"/>
    <w:next w:val="1"/>
    <w:qFormat/>
    <w:uiPriority w:val="0"/>
    <w:pPr>
      <w:spacing w:line="240" w:lineRule="auto"/>
      <w:ind w:left="100" w:leftChars="2500"/>
      <w:jc w:val="both"/>
    </w:pPr>
    <w:rPr>
      <w:kern w:val="2"/>
      <w:szCs w:val="24"/>
    </w:rPr>
  </w:style>
  <w:style w:type="paragraph" w:styleId="22">
    <w:name w:val="Body Text Indent 2"/>
    <w:basedOn w:val="1"/>
    <w:qFormat/>
    <w:uiPriority w:val="0"/>
    <w:pPr>
      <w:ind w:left="392" w:hanging="392"/>
    </w:pPr>
    <w:rPr>
      <w:rFonts w:ascii="宋体"/>
    </w:rPr>
  </w:style>
  <w:style w:type="paragraph" w:styleId="23">
    <w:name w:val="Balloon Text"/>
    <w:basedOn w:val="1"/>
    <w:semiHidden/>
    <w:qFormat/>
    <w:uiPriority w:val="0"/>
    <w:rPr>
      <w:sz w:val="18"/>
      <w:szCs w:val="18"/>
    </w:rPr>
  </w:style>
  <w:style w:type="paragraph" w:styleId="24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25">
    <w:name w:val="header"/>
    <w:basedOn w:val="1"/>
    <w:qFormat/>
    <w:uiPriority w:val="0"/>
    <w:pPr>
      <w:tabs>
        <w:tab w:val="center" w:pos="4320"/>
        <w:tab w:val="right" w:pos="8640"/>
      </w:tabs>
    </w:pPr>
  </w:style>
  <w:style w:type="paragraph" w:styleId="26">
    <w:name w:val="toc 1"/>
    <w:basedOn w:val="1"/>
    <w:next w:val="1"/>
    <w:semiHidden/>
    <w:qFormat/>
    <w:uiPriority w:val="0"/>
    <w:pPr>
      <w:spacing w:before="120" w:after="120"/>
    </w:pPr>
    <w:rPr>
      <w:b/>
      <w:caps/>
    </w:rPr>
  </w:style>
  <w:style w:type="paragraph" w:styleId="27">
    <w:name w:val="toc 4"/>
    <w:basedOn w:val="1"/>
    <w:next w:val="1"/>
    <w:semiHidden/>
    <w:qFormat/>
    <w:uiPriority w:val="0"/>
    <w:pPr>
      <w:ind w:left="600"/>
    </w:pPr>
    <w:rPr>
      <w:sz w:val="18"/>
    </w:rPr>
  </w:style>
  <w:style w:type="paragraph" w:styleId="28">
    <w:name w:val="Subtitle"/>
    <w:basedOn w:val="1"/>
    <w:qFormat/>
    <w:uiPriority w:val="0"/>
    <w:pPr>
      <w:spacing w:after="60"/>
      <w:jc w:val="center"/>
    </w:pPr>
    <w:rPr>
      <w:rFonts w:ascii="Arial" w:hAnsi="Arial"/>
      <w:i/>
      <w:sz w:val="36"/>
      <w:lang w:val="en-AU"/>
    </w:rPr>
  </w:style>
  <w:style w:type="paragraph" w:styleId="29">
    <w:name w:val="footnote text"/>
    <w:basedOn w:val="1"/>
    <w:semiHidden/>
    <w:qFormat/>
    <w:uiPriority w:val="0"/>
    <w:pPr>
      <w:keepNext/>
      <w:keepLines/>
      <w:pBdr>
        <w:bottom w:val="single" w:color="000000" w:sz="6" w:space="0"/>
      </w:pBdr>
      <w:spacing w:before="40" w:after="40"/>
      <w:ind w:left="360" w:hanging="360"/>
    </w:pPr>
    <w:rPr>
      <w:rFonts w:ascii="Helvetica" w:hAnsi="Helvetica"/>
      <w:sz w:val="16"/>
    </w:rPr>
  </w:style>
  <w:style w:type="paragraph" w:styleId="30">
    <w:name w:val="toc 6"/>
    <w:basedOn w:val="1"/>
    <w:next w:val="1"/>
    <w:semiHidden/>
    <w:qFormat/>
    <w:uiPriority w:val="0"/>
    <w:pPr>
      <w:ind w:left="1000"/>
    </w:pPr>
    <w:rPr>
      <w:sz w:val="18"/>
    </w:rPr>
  </w:style>
  <w:style w:type="paragraph" w:styleId="31">
    <w:name w:val="Body Text Indent 3"/>
    <w:basedOn w:val="1"/>
    <w:qFormat/>
    <w:uiPriority w:val="0"/>
    <w:pPr>
      <w:ind w:left="360"/>
    </w:pPr>
    <w:rPr>
      <w:rFonts w:ascii="宋体"/>
      <w:sz w:val="22"/>
    </w:rPr>
  </w:style>
  <w:style w:type="paragraph" w:styleId="32">
    <w:name w:val="toc 2"/>
    <w:basedOn w:val="1"/>
    <w:next w:val="1"/>
    <w:semiHidden/>
    <w:qFormat/>
    <w:uiPriority w:val="0"/>
    <w:pPr>
      <w:ind w:left="200"/>
    </w:pPr>
    <w:rPr>
      <w:smallCaps/>
    </w:rPr>
  </w:style>
  <w:style w:type="paragraph" w:styleId="33">
    <w:name w:val="toc 9"/>
    <w:basedOn w:val="1"/>
    <w:next w:val="1"/>
    <w:semiHidden/>
    <w:qFormat/>
    <w:uiPriority w:val="0"/>
    <w:pPr>
      <w:ind w:left="1600"/>
    </w:pPr>
    <w:rPr>
      <w:sz w:val="18"/>
    </w:rPr>
  </w:style>
  <w:style w:type="paragraph" w:styleId="34">
    <w:name w:val="Body Text 2"/>
    <w:basedOn w:val="1"/>
    <w:qFormat/>
    <w:uiPriority w:val="0"/>
    <w:rPr>
      <w:i/>
      <w:color w:val="0000FF"/>
    </w:rPr>
  </w:style>
  <w:style w:type="paragraph" w:styleId="35">
    <w:name w:val="Title"/>
    <w:basedOn w:val="1"/>
    <w:next w:val="1"/>
    <w:qFormat/>
    <w:uiPriority w:val="0"/>
    <w:pPr>
      <w:spacing w:line="240" w:lineRule="auto"/>
      <w:jc w:val="center"/>
    </w:pPr>
    <w:rPr>
      <w:rFonts w:ascii="Arial" w:hAnsi="Arial"/>
      <w:b/>
      <w:sz w:val="36"/>
    </w:rPr>
  </w:style>
  <w:style w:type="paragraph" w:styleId="36">
    <w:name w:val="annotation subject"/>
    <w:basedOn w:val="14"/>
    <w:next w:val="14"/>
    <w:link w:val="65"/>
    <w:qFormat/>
    <w:uiPriority w:val="0"/>
    <w:rPr>
      <w:b/>
      <w:bCs/>
    </w:rPr>
  </w:style>
  <w:style w:type="table" w:styleId="38">
    <w:name w:val="Table Grid"/>
    <w:basedOn w:val="37"/>
    <w:qFormat/>
    <w:uiPriority w:val="59"/>
    <w:rPr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40">
    <w:name w:val="Strong"/>
    <w:qFormat/>
    <w:uiPriority w:val="0"/>
    <w:rPr>
      <w:b/>
      <w:bCs/>
    </w:rPr>
  </w:style>
  <w:style w:type="character" w:styleId="41">
    <w:name w:val="page number"/>
    <w:basedOn w:val="39"/>
    <w:qFormat/>
    <w:uiPriority w:val="0"/>
  </w:style>
  <w:style w:type="character" w:styleId="42">
    <w:name w:val="FollowedHyperlink"/>
    <w:qFormat/>
    <w:uiPriority w:val="0"/>
    <w:rPr>
      <w:color w:val="800080"/>
      <w:u w:val="single"/>
    </w:rPr>
  </w:style>
  <w:style w:type="character" w:styleId="43">
    <w:name w:val="Hyperlink"/>
    <w:qFormat/>
    <w:uiPriority w:val="0"/>
    <w:rPr>
      <w:color w:val="0000FF"/>
      <w:u w:val="single"/>
    </w:rPr>
  </w:style>
  <w:style w:type="character" w:styleId="44">
    <w:name w:val="annotation reference"/>
    <w:qFormat/>
    <w:uiPriority w:val="0"/>
    <w:rPr>
      <w:sz w:val="21"/>
      <w:szCs w:val="21"/>
    </w:rPr>
  </w:style>
  <w:style w:type="character" w:styleId="45">
    <w:name w:val="footnote reference"/>
    <w:semiHidden/>
    <w:qFormat/>
    <w:uiPriority w:val="0"/>
    <w:rPr>
      <w:sz w:val="20"/>
      <w:vertAlign w:val="superscript"/>
    </w:rPr>
  </w:style>
  <w:style w:type="paragraph" w:customStyle="1" w:styleId="46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7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9">
    <w:name w:val="Comment"/>
    <w:basedOn w:val="1"/>
    <w:qFormat/>
    <w:uiPriority w:val="0"/>
    <w:pPr>
      <w:widowControl/>
      <w:spacing w:after="120" w:line="240" w:lineRule="auto"/>
    </w:pPr>
    <w:rPr>
      <w:i/>
      <w:color w:val="000080"/>
      <w:sz w:val="22"/>
    </w:rPr>
  </w:style>
  <w:style w:type="paragraph" w:customStyle="1" w:styleId="50">
    <w:name w:val="Paragraph3"/>
    <w:basedOn w:val="1"/>
    <w:qFormat/>
    <w:uiPriority w:val="0"/>
    <w:pPr>
      <w:spacing w:before="80" w:line="240" w:lineRule="auto"/>
      <w:ind w:left="1530"/>
      <w:jc w:val="both"/>
    </w:pPr>
  </w:style>
  <w:style w:type="paragraph" w:customStyle="1" w:styleId="51">
    <w:name w:val="Bullet1"/>
    <w:basedOn w:val="1"/>
    <w:qFormat/>
    <w:uiPriority w:val="0"/>
    <w:pPr>
      <w:ind w:left="720" w:hanging="432"/>
    </w:pPr>
  </w:style>
  <w:style w:type="paragraph" w:customStyle="1" w:styleId="52">
    <w:name w:val="InfoBlue"/>
    <w:basedOn w:val="1"/>
    <w:next w:val="15"/>
    <w:qFormat/>
    <w:uiPriority w:val="0"/>
    <w:pPr>
      <w:tabs>
        <w:tab w:val="left" w:pos="882"/>
      </w:tabs>
      <w:spacing w:before="120" w:after="120"/>
      <w:ind w:left="392" w:firstLine="8"/>
    </w:pPr>
    <w:rPr>
      <w:rFonts w:ascii="Arial" w:hAnsi="Arial"/>
      <w:color w:val="0000FF"/>
    </w:rPr>
  </w:style>
  <w:style w:type="paragraph" w:customStyle="1" w:styleId="53">
    <w:name w:val="Paragraph4"/>
    <w:basedOn w:val="1"/>
    <w:qFormat/>
    <w:uiPriority w:val="0"/>
    <w:pPr>
      <w:spacing w:before="80" w:line="240" w:lineRule="auto"/>
      <w:ind w:left="2250"/>
      <w:jc w:val="both"/>
    </w:pPr>
  </w:style>
  <w:style w:type="paragraph" w:customStyle="1" w:styleId="54">
    <w:name w:val="Paragraph2"/>
    <w:basedOn w:val="1"/>
    <w:qFormat/>
    <w:uiPriority w:val="0"/>
    <w:pPr>
      <w:spacing w:before="80"/>
      <w:ind w:left="720"/>
      <w:jc w:val="both"/>
    </w:pPr>
    <w:rPr>
      <w:color w:val="000000"/>
      <w:lang w:val="en-AU"/>
    </w:rPr>
  </w:style>
  <w:style w:type="paragraph" w:customStyle="1" w:styleId="55">
    <w:name w:val="HD标题3"/>
    <w:basedOn w:val="1"/>
    <w:qFormat/>
    <w:uiPriority w:val="0"/>
    <w:pPr>
      <w:spacing w:before="360" w:line="480" w:lineRule="atLeast"/>
      <w:jc w:val="both"/>
    </w:pPr>
    <w:rPr>
      <w:rFonts w:eastAsia="黑体"/>
      <w:b/>
      <w:kern w:val="2"/>
      <w:sz w:val="28"/>
    </w:rPr>
  </w:style>
  <w:style w:type="paragraph" w:customStyle="1" w:styleId="56">
    <w:name w:val="Main Title"/>
    <w:basedOn w:val="1"/>
    <w:qFormat/>
    <w:uiPriority w:val="0"/>
    <w:pPr>
      <w:spacing w:before="480" w:after="60" w:line="240" w:lineRule="auto"/>
      <w:jc w:val="center"/>
    </w:pPr>
    <w:rPr>
      <w:rFonts w:ascii="Arial" w:hAnsi="Arial"/>
      <w:b/>
      <w:kern w:val="28"/>
      <w:sz w:val="32"/>
    </w:rPr>
  </w:style>
  <w:style w:type="paragraph" w:customStyle="1" w:styleId="57">
    <w:name w:val="注释"/>
    <w:basedOn w:val="1"/>
    <w:qFormat/>
    <w:uiPriority w:val="0"/>
    <w:rPr>
      <w:color w:val="0000FF"/>
    </w:rPr>
  </w:style>
  <w:style w:type="paragraph" w:customStyle="1" w:styleId="58">
    <w:name w:val="Bullet"/>
    <w:basedOn w:val="1"/>
    <w:qFormat/>
    <w:uiPriority w:val="0"/>
    <w:pPr>
      <w:widowControl/>
      <w:tabs>
        <w:tab w:val="left" w:pos="720"/>
      </w:tabs>
      <w:spacing w:before="120" w:line="240" w:lineRule="auto"/>
      <w:ind w:left="720" w:right="360"/>
      <w:jc w:val="both"/>
    </w:pPr>
    <w:rPr>
      <w:rFonts w:ascii="Book Antiqua" w:hAnsi="Book Antiqua"/>
    </w:rPr>
  </w:style>
  <w:style w:type="paragraph" w:customStyle="1" w:styleId="59">
    <w:name w:val="Body"/>
    <w:basedOn w:val="1"/>
    <w:qFormat/>
    <w:uiPriority w:val="0"/>
    <w:pPr>
      <w:widowControl/>
      <w:spacing w:before="120" w:line="240" w:lineRule="auto"/>
      <w:jc w:val="both"/>
    </w:pPr>
    <w:rPr>
      <w:rFonts w:ascii="Book Antiqua" w:hAnsi="Book Antiqua"/>
      <w:lang w:eastAsia="en-US"/>
    </w:rPr>
  </w:style>
  <w:style w:type="paragraph" w:customStyle="1" w:styleId="60">
    <w:name w:val="HD正文1"/>
    <w:basedOn w:val="1"/>
    <w:qFormat/>
    <w:uiPriority w:val="0"/>
    <w:pPr>
      <w:spacing w:line="440" w:lineRule="atLeast"/>
      <w:ind w:firstLine="540"/>
      <w:jc w:val="both"/>
    </w:pPr>
    <w:rPr>
      <w:kern w:val="2"/>
      <w:sz w:val="24"/>
    </w:rPr>
  </w:style>
  <w:style w:type="paragraph" w:customStyle="1" w:styleId="61">
    <w:name w:val="Paragraph1"/>
    <w:basedOn w:val="1"/>
    <w:qFormat/>
    <w:uiPriority w:val="0"/>
    <w:pPr>
      <w:spacing w:before="80" w:line="240" w:lineRule="auto"/>
      <w:jc w:val="both"/>
    </w:pPr>
  </w:style>
  <w:style w:type="paragraph" w:customStyle="1" w:styleId="62">
    <w:name w:val="Tabletext"/>
    <w:basedOn w:val="1"/>
    <w:qFormat/>
    <w:uiPriority w:val="0"/>
    <w:pPr>
      <w:keepLines/>
      <w:spacing w:after="120"/>
    </w:pPr>
  </w:style>
  <w:style w:type="paragraph" w:customStyle="1" w:styleId="63">
    <w:name w:val="Bullet2"/>
    <w:basedOn w:val="1"/>
    <w:qFormat/>
    <w:uiPriority w:val="0"/>
    <w:pPr>
      <w:ind w:left="1440" w:hanging="360"/>
    </w:pPr>
    <w:rPr>
      <w:color w:val="000080"/>
    </w:rPr>
  </w:style>
  <w:style w:type="paragraph" w:customStyle="1" w:styleId="6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cs="宋体" w:hAnsiTheme="minorHAnsi" w:eastAsiaTheme="minorEastAsia"/>
      <w:color w:val="000000"/>
      <w:sz w:val="24"/>
      <w:szCs w:val="24"/>
      <w:lang w:val="en-US" w:eastAsia="zh-CN" w:bidi="ar-SA"/>
    </w:rPr>
  </w:style>
  <w:style w:type="character" w:customStyle="1" w:styleId="65">
    <w:name w:val="批注主题 字符"/>
    <w:link w:val="36"/>
    <w:qFormat/>
    <w:uiPriority w:val="0"/>
    <w:rPr>
      <w:b/>
      <w:bCs/>
      <w:sz w:val="21"/>
    </w:rPr>
  </w:style>
  <w:style w:type="character" w:customStyle="1" w:styleId="66">
    <w:name w:val="批注文字 字符"/>
    <w:link w:val="14"/>
    <w:qFormat/>
    <w:uiPriority w:val="0"/>
    <w:rPr>
      <w:sz w:val="21"/>
    </w:rPr>
  </w:style>
  <w:style w:type="paragraph" w:styleId="67">
    <w:name w:val="List Paragraph"/>
    <w:basedOn w:val="1"/>
    <w:qFormat/>
    <w:uiPriority w:val="34"/>
    <w:pPr>
      <w:ind w:firstLine="420" w:firstLineChars="200"/>
    </w:pPr>
  </w:style>
  <w:style w:type="table" w:customStyle="1" w:styleId="68">
    <w:name w:val="网格型1"/>
    <w:basedOn w:val="37"/>
    <w:qFormat/>
    <w:uiPriority w:val="59"/>
    <w:rPr>
      <w:rFonts w:ascii="等线" w:hAnsi="等线" w:eastAsia="等线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ISO9000\&#20449;&#28304;&#21672;&#35759;\&#21508;&#31181;&#27169;&#26495;\&#25991;&#26723;&#27169;&#26495;(ISO)1.1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文档模板(ISO)1.1.dot</Template>
  <Company>mzhx</Company>
  <Pages>12</Pages>
  <Words>2583</Words>
  <Characters>3104</Characters>
  <Lines>30</Lines>
  <Paragraphs>8</Paragraphs>
  <TotalTime>2</TotalTime>
  <ScaleCrop>false</ScaleCrop>
  <LinksUpToDate>false</LinksUpToDate>
  <CharactersWithSpaces>3344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2020-08-12T05:46:00Z</dcterms:created>
  <dc:creator>renzt</dc:creator>
  <cp:lastModifiedBy>Administrator</cp:lastModifiedBy>
  <cp:lastPrinted>2018-05-31T02:20:00Z</cp:lastPrinted>
  <dcterms:modified xsi:type="dcterms:W3CDTF">2023-10-25T01:30:08Z</dcterms:modified>
  <dc:title>质量记录控制程序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版本号">
    <vt:lpwstr>&lt;版本号&gt;</vt:lpwstr>
  </property>
  <property fmtid="{D5CDD505-2E9C-101B-9397-08002B2CF9AE}" pid="3" name="受控状态">
    <vt:lpwstr>&lt;受控状态&gt;</vt:lpwstr>
  </property>
  <property fmtid="{D5CDD505-2E9C-101B-9397-08002B2CF9AE}" pid="4" name="文件编号">
    <vt:lpwstr>&lt;文件编号&gt;</vt:lpwstr>
  </property>
  <property fmtid="{D5CDD505-2E9C-101B-9397-08002B2CF9AE}" pid="5" name="KSOProductBuildVer">
    <vt:lpwstr>2052-11.1.0.14309</vt:lpwstr>
  </property>
  <property fmtid="{D5CDD505-2E9C-101B-9397-08002B2CF9AE}" pid="6" name="审核1">
    <vt:lpwstr> </vt:lpwstr>
  </property>
  <property fmtid="{D5CDD505-2E9C-101B-9397-08002B2CF9AE}" pid="7" name="批准1">
    <vt:lpwstr> </vt:lpwstr>
  </property>
  <property fmtid="{D5CDD505-2E9C-101B-9397-08002B2CF9AE}" pid="8" name="编制1">
    <vt:lpwstr> </vt:lpwstr>
  </property>
  <property fmtid="{D5CDD505-2E9C-101B-9397-08002B2CF9AE}" pid="9" name="批准1日期">
    <vt:lpwstr> </vt:lpwstr>
  </property>
  <property fmtid="{D5CDD505-2E9C-101B-9397-08002B2CF9AE}" pid="10" name="批准1日期1">
    <vt:lpwstr> </vt:lpwstr>
  </property>
  <property fmtid="{D5CDD505-2E9C-101B-9397-08002B2CF9AE}" pid="11" name="ICV">
    <vt:lpwstr>07D55341F2E842EAAFA7F78DCC600EEC</vt:lpwstr>
  </property>
</Properties>
</file>