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60"/>
        </w:tabs>
        <w:spacing w:line="400" w:lineRule="exact"/>
        <w:jc w:val="both"/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</w:pPr>
      <w:bookmarkStart w:id="65" w:name="_GoBack"/>
      <w:bookmarkEnd w:id="65"/>
      <w:r>
        <w:rPr>
          <w:rFonts w:ascii="Times New Roman" w:hAnsi="Times New Roman" w:cs="Times New Roman"/>
          <w:sz w:val="24"/>
          <w:szCs w:val="24"/>
        </w:rPr>
        <w:t>文件编号：</w:t>
      </w:r>
      <w:r>
        <w:rPr>
          <w:rFonts w:ascii="Times New Roman" w:hAnsi="Times New Roman" w:eastAsia="仿宋_GB2312" w:cs="Times New Roman"/>
          <w:sz w:val="24"/>
          <w:szCs w:val="24"/>
        </w:rPr>
        <w:t>GY/INMAI-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GX-3-L3-CLP-JG-000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5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版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本</w:t>
      </w:r>
      <w:r>
        <w:rPr>
          <w:rFonts w:hint="eastAsia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号：</w:t>
      </w:r>
      <w:r>
        <w:rPr>
          <w:rFonts w:ascii="Times New Roman" w:hAnsi="Times New Roman" w:eastAsia="宋体" w:cs="Times New Roman"/>
          <w:sz w:val="24"/>
          <w:szCs w:val="24"/>
        </w:rPr>
        <w:t>V</w:t>
      </w:r>
      <w:r>
        <w:rPr>
          <w:rFonts w:hint="eastAsia" w:ascii="Times New Roman" w:hAnsi="Times New Roman" w:eastAsia="宋体" w:cs="Times New Roman"/>
          <w:sz w:val="24"/>
          <w:szCs w:val="24"/>
        </w:rPr>
        <w:t>1</w:t>
      </w:r>
      <w:r>
        <w:rPr>
          <w:rFonts w:ascii="Times New Roman" w:hAnsi="Times New Roman" w:eastAsia="宋体" w:cs="Times New Roman"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</w:p>
    <w:p>
      <w:pPr>
        <w:spacing w:line="300" w:lineRule="auto"/>
        <w:jc w:val="center"/>
        <w:rPr>
          <w:rFonts w:ascii="Times New Roman" w:hAnsi="Times New Roman" w:eastAsia="楷体_GB2312" w:cs="Times New Roman"/>
          <w:sz w:val="48"/>
        </w:rPr>
      </w:pPr>
    </w:p>
    <w:p>
      <w:pPr>
        <w:spacing w:line="300" w:lineRule="auto"/>
        <w:jc w:val="center"/>
        <w:rPr>
          <w:rFonts w:ascii="Times New Roman" w:hAnsi="Times New Roman" w:eastAsia="楷体_GB2312" w:cs="Times New Roman"/>
          <w:sz w:val="48"/>
        </w:rPr>
      </w:pPr>
    </w:p>
    <w:p>
      <w:pPr>
        <w:tabs>
          <w:tab w:val="left" w:pos="8190"/>
        </w:tabs>
        <w:spacing w:line="300" w:lineRule="auto"/>
        <w:rPr>
          <w:rFonts w:ascii="Times New Roman" w:hAnsi="Times New Roman" w:cs="Times New Roman"/>
          <w:sz w:val="48"/>
          <w:szCs w:val="48"/>
        </w:rPr>
      </w:pPr>
    </w:p>
    <w:p>
      <w:pPr>
        <w:tabs>
          <w:tab w:val="left" w:pos="8190"/>
        </w:tabs>
        <w:spacing w:line="300" w:lineRule="auto"/>
        <w:rPr>
          <w:rFonts w:ascii="Times New Roman" w:hAnsi="Times New Roman" w:cs="Times New Roman"/>
          <w:sz w:val="48"/>
          <w:szCs w:val="48"/>
        </w:rPr>
      </w:pPr>
    </w:p>
    <w:p>
      <w:pPr>
        <w:jc w:val="center"/>
        <w:rPr>
          <w:rFonts w:hint="eastAsia" w:ascii="黑体" w:hAnsi="宋体" w:eastAsia="黑体" w:cs="黑体"/>
          <w:b/>
          <w:bCs/>
          <w:spacing w:val="56"/>
          <w:sz w:val="52"/>
          <w:szCs w:val="52"/>
          <w:lang w:eastAsia="zh-CN"/>
        </w:rPr>
      </w:pPr>
      <w:r>
        <w:rPr>
          <w:rFonts w:hint="eastAsia" w:ascii="黑体" w:hAnsi="宋体" w:eastAsia="黑体" w:cs="黑体"/>
          <w:b/>
          <w:bCs/>
          <w:spacing w:val="56"/>
          <w:sz w:val="52"/>
          <w:szCs w:val="52"/>
          <w:lang w:eastAsia="zh-CN"/>
        </w:rPr>
        <w:t>信号同步板</w:t>
      </w:r>
    </w:p>
    <w:p>
      <w:pPr>
        <w:jc w:val="center"/>
        <w:rPr>
          <w:rFonts w:hint="eastAsia" w:ascii="黑体" w:hAnsi="宋体" w:eastAsia="黑体" w:cs="黑体"/>
          <w:b/>
          <w:bCs/>
          <w:spacing w:val="56"/>
          <w:sz w:val="52"/>
          <w:szCs w:val="52"/>
          <w:lang w:eastAsia="zh-CN"/>
        </w:rPr>
      </w:pPr>
      <w:r>
        <w:rPr>
          <w:rFonts w:hint="eastAsia" w:ascii="黑体" w:hAnsi="宋体" w:eastAsia="黑体" w:cs="黑体"/>
          <w:b/>
          <w:bCs/>
          <w:spacing w:val="56"/>
          <w:sz w:val="52"/>
          <w:szCs w:val="52"/>
          <w:lang w:eastAsia="zh-CN"/>
        </w:rPr>
        <w:t>GX3-SCU-01</w:t>
      </w:r>
    </w:p>
    <w:p>
      <w:pPr>
        <w:tabs>
          <w:tab w:val="left" w:pos="8190"/>
        </w:tabs>
        <w:spacing w:line="300" w:lineRule="auto"/>
        <w:jc w:val="center"/>
        <w:rPr>
          <w:rFonts w:hint="eastAsia" w:ascii="黑体" w:hAnsi="宋体" w:eastAsia="黑体" w:cs="黑体"/>
          <w:b/>
          <w:bCs/>
          <w:spacing w:val="56"/>
          <w:sz w:val="52"/>
          <w:szCs w:val="52"/>
          <w:lang w:val="en-US" w:eastAsia="zh-CN"/>
        </w:rPr>
      </w:pPr>
      <w:r>
        <w:rPr>
          <w:rFonts w:hint="eastAsia" w:ascii="黑体" w:hAnsi="宋体" w:eastAsia="黑体" w:cs="黑体"/>
          <w:b/>
          <w:bCs/>
          <w:spacing w:val="56"/>
          <w:sz w:val="52"/>
          <w:szCs w:val="52"/>
        </w:rPr>
        <w:t>技术需求</w:t>
      </w:r>
      <w:r>
        <w:rPr>
          <w:rFonts w:hint="eastAsia" w:ascii="黑体" w:hAnsi="宋体" w:eastAsia="黑体" w:cs="黑体"/>
          <w:b/>
          <w:bCs/>
          <w:spacing w:val="56"/>
          <w:sz w:val="52"/>
          <w:szCs w:val="52"/>
          <w:lang w:val="en-US" w:eastAsia="zh-CN"/>
        </w:rPr>
        <w:t>书</w:t>
      </w:r>
    </w:p>
    <w:p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编 制：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编制1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李洋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审 核：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审核1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杨超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批 准：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批准1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韩强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>
      <w:pPr>
        <w:spacing w:line="300" w:lineRule="auto"/>
        <w:ind w:firstLine="2960"/>
        <w:rPr>
          <w:rFonts w:ascii="Times New Roman" w:hAnsi="Times New Roman" w:eastAsia="宋体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批准日期：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批准1日期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2023-04-03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</w:p>
    <w:p>
      <w:pPr>
        <w:spacing w:line="300" w:lineRule="auto"/>
        <w:ind w:firstLine="2520"/>
        <w:rPr>
          <w:rFonts w:ascii="Times New Roman" w:hAnsi="Times New Roman" w:eastAsia="仿宋_GB2312" w:cs="Times New Roman"/>
          <w:sz w:val="28"/>
          <w:szCs w:val="28"/>
          <w:u w:val="single"/>
        </w:rPr>
      </w:pPr>
    </w:p>
    <w:p>
      <w:pPr>
        <w:spacing w:line="300" w:lineRule="auto"/>
        <w:ind w:firstLine="2520"/>
        <w:rPr>
          <w:rFonts w:ascii="Times New Roman" w:hAnsi="Times New Roman" w:eastAsia="仿宋_GB2312" w:cs="Times New Roman"/>
          <w:sz w:val="28"/>
          <w:szCs w:val="28"/>
          <w:u w:val="single"/>
        </w:rPr>
      </w:pPr>
    </w:p>
    <w:p>
      <w:pPr>
        <w:spacing w:line="300" w:lineRule="auto"/>
        <w:ind w:firstLine="2520"/>
        <w:rPr>
          <w:rFonts w:ascii="Times New Roman" w:hAnsi="Times New Roman" w:eastAsia="仿宋_GB2312" w:cs="Times New Roman"/>
          <w:sz w:val="28"/>
          <w:szCs w:val="28"/>
          <w:u w:val="single"/>
        </w:rPr>
      </w:pPr>
    </w:p>
    <w:p>
      <w:pPr>
        <w:tabs>
          <w:tab w:val="left" w:pos="8190"/>
        </w:tabs>
        <w:spacing w:line="300" w:lineRule="auto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北京铁科英迈技术有限公司</w:t>
      </w:r>
    </w:p>
    <w:p>
      <w:pPr>
        <w:jc w:val="center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ascii="Times New Roman" w:hAnsi="Times New Roman" w:eastAsia="黑体" w:cs="Times New Roman"/>
          <w:b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b/>
          <w:sz w:val="24"/>
          <w:szCs w:val="24"/>
        </w:rPr>
        <w:instrText xml:space="preserve"> DOCPROPERTY 批准1日期 \* MERGEFORMAT </w:instrText>
      </w:r>
      <w:r>
        <w:rPr>
          <w:rFonts w:ascii="Times New Roman" w:hAnsi="Times New Roman" w:eastAsia="黑体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eastAsia="黑体" w:cs="Times New Roman"/>
          <w:b/>
          <w:sz w:val="24"/>
          <w:szCs w:val="24"/>
        </w:rPr>
        <w:t>2023-04-03</w:t>
      </w:r>
      <w:r>
        <w:rPr>
          <w:rFonts w:ascii="Times New Roman" w:hAnsi="Times New Roman" w:eastAsia="黑体" w:cs="Times New Roman"/>
          <w:b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b/>
          <w:sz w:val="24"/>
          <w:szCs w:val="24"/>
        </w:rPr>
        <w:t>发布</w:t>
      </w:r>
    </w:p>
    <w:p>
      <w:pPr>
        <w:jc w:val="center"/>
        <w:rPr>
          <w:rFonts w:ascii="Times New Roman" w:hAnsi="Times New Roman" w:cs="Times New Roman"/>
        </w:rPr>
        <w:sectPr>
          <w:headerReference r:id="rId5" w:type="default"/>
          <w:footerReference r:id="rId6" w:type="default"/>
          <w:footerReference r:id="rId7" w:type="even"/>
          <w:pgSz w:w="11907" w:h="16840"/>
          <w:pgMar w:top="1571" w:right="1191" w:bottom="1247" w:left="1191" w:header="851" w:footer="567" w:gutter="567"/>
          <w:cols w:space="720" w:num="1"/>
          <w:titlePg/>
          <w:docGrid w:linePitch="286" w:charSpace="535"/>
        </w:sectPr>
      </w:pPr>
    </w:p>
    <w:p>
      <w:pPr>
        <w:jc w:val="center"/>
        <w:rPr>
          <w:rFonts w:ascii="Times New Roman" w:hAnsi="Times New Roman" w:eastAsia="仿宋_GB2312" w:cs="Times New Roman"/>
          <w:b/>
          <w:bCs/>
          <w:sz w:val="32"/>
        </w:rPr>
      </w:pPr>
      <w:r>
        <w:rPr>
          <w:rFonts w:ascii="Times New Roman" w:hAnsi="Times New Roman" w:eastAsia="仿宋_GB2312" w:cs="Times New Roman"/>
          <w:b/>
          <w:bCs/>
          <w:sz w:val="32"/>
        </w:rPr>
        <w:t>变  更  记  录</w:t>
      </w:r>
    </w:p>
    <w:tbl>
      <w:tblPr>
        <w:tblStyle w:val="36"/>
        <w:tblW w:w="91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3456"/>
        <w:gridCol w:w="1444"/>
        <w:gridCol w:w="1343"/>
        <w:gridCol w:w="1319"/>
        <w:gridCol w:w="11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11" w:type="dxa"/>
            <w:shd w:val="clear" w:color="auto" w:fill="D9D9D9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序号</w:t>
            </w:r>
          </w:p>
        </w:tc>
        <w:tc>
          <w:tcPr>
            <w:tcW w:w="3456" w:type="dxa"/>
            <w:shd w:val="clear" w:color="auto" w:fill="D9D9D9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修改内容</w:t>
            </w:r>
          </w:p>
        </w:tc>
        <w:tc>
          <w:tcPr>
            <w:tcW w:w="1444" w:type="dxa"/>
            <w:shd w:val="clear" w:color="auto" w:fill="D9D9D9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修改/日期</w:t>
            </w:r>
          </w:p>
        </w:tc>
        <w:tc>
          <w:tcPr>
            <w:tcW w:w="1343" w:type="dxa"/>
            <w:shd w:val="clear" w:color="auto" w:fill="D9D9D9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审核/日期</w:t>
            </w:r>
          </w:p>
        </w:tc>
        <w:tc>
          <w:tcPr>
            <w:tcW w:w="1319" w:type="dxa"/>
            <w:shd w:val="clear" w:color="auto" w:fill="D9D9D9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批准/日期</w:t>
            </w:r>
          </w:p>
        </w:tc>
        <w:tc>
          <w:tcPr>
            <w:tcW w:w="1164" w:type="dxa"/>
            <w:shd w:val="clear" w:color="auto" w:fill="D9D9D9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实施日期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</w:t>
            </w:r>
          </w:p>
        </w:tc>
        <w:tc>
          <w:tcPr>
            <w:tcW w:w="3456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V1.0  新建技术需求书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</w:rPr>
              <w:t>李洋/20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Times New Roman"/>
                <w:szCs w:val="22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仿宋_GB2312" w:cs="Times New Roman"/>
                <w:szCs w:val="22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19</w:t>
            </w: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41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6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6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41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6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6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6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6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6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6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6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6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6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6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1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6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仿宋" w:cs="Times New Roman"/>
        </w:rPr>
        <w:t>注：对该文件内容增加、删除或修改均需填写变更记录，详细记载变更信息，以保证其可追溯性。</w:t>
      </w:r>
    </w:p>
    <w:p>
      <w:pPr>
        <w:rPr>
          <w:rFonts w:ascii="Times New Roman" w:hAnsi="Times New Roman" w:cs="Times New Roman"/>
        </w:rPr>
        <w:sectPr>
          <w:footerReference r:id="rId8" w:type="default"/>
          <w:pgSz w:w="11907" w:h="16840"/>
          <w:pgMar w:top="1571" w:right="1191" w:bottom="1247" w:left="1191" w:header="851" w:footer="567" w:gutter="567"/>
          <w:pgNumType w:fmt="upperRoman" w:start="1"/>
          <w:cols w:space="720" w:num="1"/>
          <w:docGrid w:linePitch="286" w:charSpace="535"/>
        </w:sectPr>
      </w:pPr>
    </w:p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目    录</w:t>
      </w:r>
    </w:p>
    <w:p>
      <w:pPr>
        <w:pStyle w:val="25"/>
        <w:tabs>
          <w:tab w:val="right" w:leader="dot" w:pos="8958"/>
        </w:tabs>
      </w:pPr>
      <w:r>
        <w:rPr>
          <w:rFonts w:ascii="Times New Roman" w:hAnsi="Times New Roman" w:eastAsia="仿宋" w:cs="Times New Roman"/>
          <w:b w:val="0"/>
          <w:szCs w:val="21"/>
        </w:rPr>
        <w:fldChar w:fldCharType="begin"/>
      </w:r>
      <w:r>
        <w:rPr>
          <w:rFonts w:ascii="Times New Roman" w:hAnsi="Times New Roman" w:eastAsia="仿宋" w:cs="Times New Roman"/>
          <w:b w:val="0"/>
          <w:szCs w:val="21"/>
        </w:rPr>
        <w:instrText xml:space="preserve">TOC \o "1-9" \h \u </w:instrText>
      </w:r>
      <w:r>
        <w:rPr>
          <w:rFonts w:ascii="Times New Roman" w:hAnsi="Times New Roman" w:eastAsia="仿宋" w:cs="Times New Roman"/>
          <w:b w:val="0"/>
          <w:szCs w:val="21"/>
        </w:rPr>
        <w:fldChar w:fldCharType="separate"/>
      </w: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_Toc25059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  <w:szCs w:val="28"/>
        </w:rPr>
        <w:t xml:space="preserve">1. </w:t>
      </w:r>
      <w:r>
        <w:rPr>
          <w:rFonts w:hint="eastAsia"/>
          <w:szCs w:val="28"/>
        </w:rPr>
        <w:t>产品简介</w:t>
      </w:r>
      <w:r>
        <w:tab/>
      </w:r>
      <w:r>
        <w:fldChar w:fldCharType="begin"/>
      </w:r>
      <w:r>
        <w:instrText xml:space="preserve"> PAGEREF _Toc25059 \h </w:instrText>
      </w:r>
      <w:r>
        <w:fldChar w:fldCharType="separate"/>
      </w:r>
      <w:r>
        <w:t>1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25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_Toc30488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  <w:szCs w:val="28"/>
        </w:rPr>
        <w:t xml:space="preserve">2. </w:t>
      </w:r>
      <w:r>
        <w:rPr>
          <w:rFonts w:hint="eastAsia"/>
          <w:szCs w:val="28"/>
        </w:rPr>
        <w:t>组成清单</w:t>
      </w:r>
      <w:r>
        <w:tab/>
      </w:r>
      <w:r>
        <w:fldChar w:fldCharType="begin"/>
      </w:r>
      <w:r>
        <w:instrText xml:space="preserve"> PAGEREF _Toc30488 \h </w:instrText>
      </w:r>
      <w:r>
        <w:fldChar w:fldCharType="separate"/>
      </w:r>
      <w:r>
        <w:t>1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25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_Toc17371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  <w:szCs w:val="28"/>
        </w:rPr>
        <w:t xml:space="preserve">3. </w:t>
      </w:r>
      <w:r>
        <w:rPr>
          <w:rFonts w:hint="eastAsia"/>
          <w:szCs w:val="28"/>
        </w:rPr>
        <w:t>技术要求</w:t>
      </w:r>
      <w:r>
        <w:tab/>
      </w:r>
      <w:r>
        <w:fldChar w:fldCharType="begin"/>
      </w:r>
      <w:r>
        <w:instrText xml:space="preserve"> PAGEREF _Toc17371 \h </w:instrText>
      </w:r>
      <w:r>
        <w:fldChar w:fldCharType="separate"/>
      </w:r>
      <w:r>
        <w:t>1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31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_Toc8474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 w:ascii="宋体" w:hAnsi="宋体" w:cs="宋体"/>
          <w:szCs w:val="24"/>
        </w:rPr>
        <w:t xml:space="preserve">3.1. </w:t>
      </w:r>
      <w:r>
        <w:rPr>
          <w:rFonts w:hint="eastAsia" w:ascii="宋体" w:hAnsi="宋体" w:cs="宋体"/>
          <w:szCs w:val="24"/>
        </w:rPr>
        <w:t>主要技术条件</w:t>
      </w:r>
      <w:r>
        <w:tab/>
      </w:r>
      <w:r>
        <w:fldChar w:fldCharType="begin"/>
      </w:r>
      <w:r>
        <w:instrText xml:space="preserve"> PAGEREF _Toc8474 \h </w:instrText>
      </w:r>
      <w:r>
        <w:fldChar w:fldCharType="separate"/>
      </w:r>
      <w:r>
        <w:t>1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31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_Toc17589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 w:ascii="宋体" w:hAnsi="宋体" w:cs="宋体"/>
          <w:szCs w:val="24"/>
        </w:rPr>
        <w:t xml:space="preserve">3.2. </w:t>
      </w:r>
      <w:r>
        <w:rPr>
          <w:rFonts w:hint="eastAsia" w:ascii="宋体" w:hAnsi="宋体" w:cs="宋体"/>
          <w:szCs w:val="24"/>
        </w:rPr>
        <w:t>机械加工</w:t>
      </w:r>
      <w:r>
        <w:tab/>
      </w:r>
      <w:r>
        <w:fldChar w:fldCharType="begin"/>
      </w:r>
      <w:r>
        <w:instrText xml:space="preserve"> PAGEREF _Toc17589 \h </w:instrText>
      </w:r>
      <w:r>
        <w:fldChar w:fldCharType="separate"/>
      </w:r>
      <w:r>
        <w:t>2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18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_Toc22035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 w:ascii="宋体" w:hAnsi="宋体" w:eastAsia="宋体" w:cs="宋体"/>
          <w:bCs/>
        </w:rPr>
        <w:t xml:space="preserve">3.2.1. </w:t>
      </w:r>
      <w:r>
        <w:rPr>
          <w:rFonts w:hint="eastAsia" w:ascii="宋体" w:hAnsi="宋体" w:eastAsia="宋体" w:cs="宋体"/>
          <w:bCs/>
        </w:rPr>
        <w:t>外形尺寸</w:t>
      </w:r>
      <w:r>
        <w:tab/>
      </w:r>
      <w:r>
        <w:fldChar w:fldCharType="begin"/>
      </w:r>
      <w:r>
        <w:instrText xml:space="preserve"> PAGEREF _Toc22035 \h </w:instrText>
      </w:r>
      <w:r>
        <w:fldChar w:fldCharType="separate"/>
      </w:r>
      <w:r>
        <w:t>2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18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_Toc25307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 w:ascii="宋体" w:hAnsi="宋体" w:eastAsia="宋体" w:cs="宋体"/>
          <w:bCs/>
        </w:rPr>
        <w:t xml:space="preserve">3.2.2. </w:t>
      </w:r>
      <w:r>
        <w:rPr>
          <w:rFonts w:hint="eastAsia" w:ascii="宋体" w:hAnsi="宋体" w:eastAsia="宋体" w:cs="宋体"/>
          <w:bCs/>
        </w:rPr>
        <w:t>开孔布局</w:t>
      </w:r>
      <w:r>
        <w:tab/>
      </w:r>
      <w:r>
        <w:fldChar w:fldCharType="begin"/>
      </w:r>
      <w:r>
        <w:instrText xml:space="preserve"> PAGEREF _Toc25307 \h </w:instrText>
      </w:r>
      <w:r>
        <w:fldChar w:fldCharType="separate"/>
      </w:r>
      <w:r>
        <w:t>2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18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_Toc6535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 w:ascii="宋体" w:hAnsi="宋体" w:eastAsia="宋体" w:cs="宋体"/>
          <w:bCs/>
        </w:rPr>
        <w:t xml:space="preserve">3.2.3. </w:t>
      </w:r>
      <w:r>
        <w:rPr>
          <w:rFonts w:hint="eastAsia" w:ascii="宋体" w:hAnsi="宋体" w:eastAsia="宋体" w:cs="宋体"/>
          <w:bCs/>
        </w:rPr>
        <w:t>加工技术要求</w:t>
      </w:r>
      <w:r>
        <w:tab/>
      </w:r>
      <w:r>
        <w:fldChar w:fldCharType="begin"/>
      </w:r>
      <w:r>
        <w:instrText xml:space="preserve"> PAGEREF _Toc6535 \h </w:instrText>
      </w:r>
      <w:r>
        <w:fldChar w:fldCharType="separate"/>
      </w:r>
      <w:r>
        <w:t>2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18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_Toc16234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 w:ascii="宋体" w:hAnsi="宋体" w:eastAsia="宋体" w:cs="宋体"/>
          <w:bCs/>
        </w:rPr>
        <w:t xml:space="preserve">3.2.4. </w:t>
      </w:r>
      <w:r>
        <w:rPr>
          <w:rFonts w:hint="eastAsia" w:ascii="宋体" w:hAnsi="宋体" w:eastAsia="宋体" w:cs="宋体"/>
          <w:bCs/>
        </w:rPr>
        <w:t>颜色字体</w:t>
      </w:r>
      <w:r>
        <w:tab/>
      </w:r>
      <w:r>
        <w:fldChar w:fldCharType="begin"/>
      </w:r>
      <w:r>
        <w:instrText xml:space="preserve"> PAGEREF _Toc16234 \h </w:instrText>
      </w:r>
      <w:r>
        <w:fldChar w:fldCharType="separate"/>
      </w:r>
      <w:r>
        <w:t>2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31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_Toc3390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 w:ascii="宋体" w:hAnsi="宋体" w:cs="宋体"/>
          <w:szCs w:val="24"/>
        </w:rPr>
        <w:t xml:space="preserve">3.3. </w:t>
      </w:r>
      <w:r>
        <w:rPr>
          <w:rFonts w:hint="eastAsia"/>
          <w:szCs w:val="24"/>
        </w:rPr>
        <w:t>器件</w:t>
      </w:r>
      <w:r>
        <w:rPr>
          <w:rFonts w:hint="eastAsia" w:ascii="宋体" w:hAnsi="宋体" w:cs="宋体"/>
          <w:szCs w:val="24"/>
        </w:rPr>
        <w:t>布局</w:t>
      </w:r>
      <w:r>
        <w:tab/>
      </w:r>
      <w:r>
        <w:fldChar w:fldCharType="begin"/>
      </w:r>
      <w:r>
        <w:instrText xml:space="preserve"> PAGEREF _Toc3390 \h </w:instrText>
      </w:r>
      <w:r>
        <w:fldChar w:fldCharType="separate"/>
      </w:r>
      <w:r>
        <w:t>2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31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_Toc19892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 w:ascii="宋体" w:hAnsi="宋体" w:cs="宋体"/>
          <w:szCs w:val="24"/>
        </w:rPr>
        <w:t xml:space="preserve">3.4. </w:t>
      </w:r>
      <w:r>
        <w:rPr>
          <w:rFonts w:hint="eastAsia" w:ascii="宋体" w:hAnsi="宋体" w:cs="宋体"/>
          <w:szCs w:val="24"/>
        </w:rPr>
        <w:t>电气要求</w:t>
      </w:r>
      <w:r>
        <w:tab/>
      </w:r>
      <w:r>
        <w:fldChar w:fldCharType="begin"/>
      </w:r>
      <w:r>
        <w:instrText xml:space="preserve"> PAGEREF _Toc19892 \h </w:instrText>
      </w:r>
      <w:r>
        <w:fldChar w:fldCharType="separate"/>
      </w:r>
      <w:r>
        <w:t>2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18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_Toc5421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 w:ascii="宋体" w:hAnsi="宋体" w:eastAsia="宋体" w:cs="宋体"/>
          <w:bCs/>
          <w:lang w:val="en-US" w:eastAsia="zh-CN"/>
        </w:rPr>
        <w:t xml:space="preserve">3.4.1. </w:t>
      </w:r>
      <w:r>
        <w:rPr>
          <w:rFonts w:hint="eastAsia" w:ascii="宋体" w:hAnsi="宋体" w:eastAsia="宋体" w:cs="宋体"/>
          <w:bCs/>
          <w:lang w:val="en-US" w:eastAsia="zh-CN"/>
        </w:rPr>
        <w:t>线缆要求</w:t>
      </w:r>
      <w:r>
        <w:tab/>
      </w:r>
      <w:r>
        <w:fldChar w:fldCharType="begin"/>
      </w:r>
      <w:r>
        <w:instrText xml:space="preserve"> PAGEREF _Toc5421 \h </w:instrText>
      </w:r>
      <w:r>
        <w:fldChar w:fldCharType="separate"/>
      </w:r>
      <w:r>
        <w:t>2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18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_Toc20514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 w:ascii="宋体" w:hAnsi="宋体" w:eastAsia="宋体" w:cs="宋体"/>
          <w:bCs/>
          <w:lang w:val="en-US" w:eastAsia="zh-CN"/>
        </w:rPr>
        <w:t xml:space="preserve">3.4.2. </w:t>
      </w:r>
      <w:r>
        <w:rPr>
          <w:rFonts w:hint="eastAsia" w:ascii="宋体" w:hAnsi="宋体" w:eastAsia="宋体" w:cs="宋体"/>
          <w:bCs/>
          <w:lang w:val="en-US" w:eastAsia="zh-CN"/>
        </w:rPr>
        <w:t>接口定义</w:t>
      </w:r>
      <w:r>
        <w:tab/>
      </w:r>
      <w:r>
        <w:fldChar w:fldCharType="begin"/>
      </w:r>
      <w:r>
        <w:instrText xml:space="preserve"> PAGEREF _Toc20514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18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_Toc10064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 w:ascii="宋体" w:hAnsi="宋体" w:eastAsia="宋体" w:cs="宋体"/>
          <w:bCs/>
          <w:lang w:val="en-US" w:eastAsia="zh-CN"/>
        </w:rPr>
        <w:t xml:space="preserve">3.4.3. </w:t>
      </w:r>
      <w:r>
        <w:rPr>
          <w:rFonts w:hint="eastAsia" w:ascii="宋体" w:hAnsi="宋体" w:eastAsia="宋体" w:cs="宋体"/>
          <w:bCs/>
          <w:lang w:val="en-US" w:eastAsia="zh-CN"/>
        </w:rPr>
        <w:t>接线图（器件布局）</w:t>
      </w:r>
      <w:r>
        <w:tab/>
      </w:r>
      <w:r>
        <w:fldChar w:fldCharType="begin"/>
      </w:r>
      <w:r>
        <w:instrText xml:space="preserve"> PAGEREF _Toc10064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31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_Toc5396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 w:ascii="宋体" w:hAnsi="宋体" w:cs="宋体"/>
          <w:szCs w:val="24"/>
        </w:rPr>
        <w:t xml:space="preserve">3.5. </w:t>
      </w:r>
      <w:r>
        <w:rPr>
          <w:rFonts w:hint="eastAsia" w:ascii="宋体" w:hAnsi="宋体" w:cs="宋体"/>
          <w:szCs w:val="24"/>
        </w:rPr>
        <w:t>组装要求</w:t>
      </w:r>
      <w:r>
        <w:tab/>
      </w:r>
      <w:r>
        <w:fldChar w:fldCharType="begin"/>
      </w:r>
      <w:r>
        <w:instrText xml:space="preserve"> PAGEREF _Toc5396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31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_Toc3988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 w:ascii="宋体" w:hAnsi="宋体" w:cs="宋体"/>
          <w:szCs w:val="24"/>
        </w:rPr>
        <w:t xml:space="preserve">3.6. </w:t>
      </w:r>
      <w:r>
        <w:rPr>
          <w:rFonts w:hint="eastAsia" w:ascii="宋体" w:hAnsi="宋体" w:cs="宋体"/>
          <w:szCs w:val="24"/>
        </w:rPr>
        <w:t>其他要求</w:t>
      </w:r>
      <w:r>
        <w:tab/>
      </w:r>
      <w:r>
        <w:fldChar w:fldCharType="begin"/>
      </w:r>
      <w:r>
        <w:instrText xml:space="preserve"> PAGEREF _Toc3988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25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_Toc15260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  <w:szCs w:val="28"/>
        </w:rPr>
        <w:t xml:space="preserve">4. </w:t>
      </w:r>
      <w:r>
        <w:rPr>
          <w:rFonts w:hint="eastAsia"/>
          <w:szCs w:val="28"/>
        </w:rPr>
        <w:t>不合格控制要求</w:t>
      </w:r>
      <w:r>
        <w:tab/>
      </w:r>
      <w:r>
        <w:fldChar w:fldCharType="begin"/>
      </w:r>
      <w:r>
        <w:instrText xml:space="preserve"> PAGEREF _Toc15260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25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_Toc28697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  <w:szCs w:val="28"/>
        </w:rPr>
        <w:t xml:space="preserve">5. </w:t>
      </w:r>
      <w:r>
        <w:rPr>
          <w:rFonts w:hint="eastAsia"/>
          <w:szCs w:val="28"/>
        </w:rPr>
        <w:t>技术文件清单控制</w:t>
      </w:r>
      <w:r>
        <w:tab/>
      </w:r>
      <w:r>
        <w:fldChar w:fldCharType="begin"/>
      </w:r>
      <w:r>
        <w:instrText xml:space="preserve"> PAGEREF _Toc28697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25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_Toc18260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  <w:szCs w:val="28"/>
        </w:rPr>
        <w:t xml:space="preserve">6. </w:t>
      </w:r>
      <w:r>
        <w:rPr>
          <w:rFonts w:hint="eastAsia"/>
          <w:szCs w:val="28"/>
        </w:rPr>
        <w:t>变更控制</w:t>
      </w:r>
      <w:r>
        <w:tab/>
      </w:r>
      <w:r>
        <w:fldChar w:fldCharType="begin"/>
      </w:r>
      <w:r>
        <w:instrText xml:space="preserve"> PAGEREF _Toc18260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25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_Toc18494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  <w:szCs w:val="28"/>
        </w:rPr>
        <w:t xml:space="preserve">7. </w:t>
      </w:r>
      <w:r>
        <w:rPr>
          <w:rFonts w:hint="eastAsia"/>
          <w:szCs w:val="28"/>
        </w:rPr>
        <w:t>老化管理</w:t>
      </w:r>
      <w:r>
        <w:tab/>
      </w:r>
      <w:r>
        <w:fldChar w:fldCharType="begin"/>
      </w:r>
      <w:r>
        <w:instrText xml:space="preserve"> PAGEREF _Toc18494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25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_Toc17308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  <w:szCs w:val="28"/>
        </w:rPr>
        <w:t xml:space="preserve">8. </w:t>
      </w:r>
      <w:r>
        <w:rPr>
          <w:rFonts w:hint="eastAsia"/>
          <w:szCs w:val="28"/>
        </w:rPr>
        <w:t>标识和可追溯性管理</w:t>
      </w:r>
      <w:r>
        <w:tab/>
      </w:r>
      <w:r>
        <w:fldChar w:fldCharType="begin"/>
      </w:r>
      <w:r>
        <w:instrText xml:space="preserve"> PAGEREF _Toc17308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25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_Toc24925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  <w:szCs w:val="28"/>
        </w:rPr>
        <w:t xml:space="preserve">9. </w:t>
      </w:r>
      <w:r>
        <w:rPr>
          <w:rFonts w:hint="eastAsia"/>
          <w:szCs w:val="28"/>
        </w:rPr>
        <w:t>产品防护要求</w:t>
      </w:r>
      <w:r>
        <w:tab/>
      </w:r>
      <w:r>
        <w:fldChar w:fldCharType="begin"/>
      </w:r>
      <w:r>
        <w:instrText xml:space="preserve"> PAGEREF _Toc24925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31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_Toc31229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  <w:szCs w:val="24"/>
        </w:rPr>
        <w:t xml:space="preserve">9.1. </w:t>
      </w:r>
      <w:r>
        <w:rPr>
          <w:rFonts w:hint="eastAsia"/>
          <w:szCs w:val="24"/>
        </w:rPr>
        <w:t>生产过程中的防护要求</w:t>
      </w:r>
      <w:r>
        <w:tab/>
      </w:r>
      <w:r>
        <w:fldChar w:fldCharType="begin"/>
      </w:r>
      <w:r>
        <w:instrText xml:space="preserve"> PAGEREF _Toc31229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31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_Toc13858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  <w:szCs w:val="24"/>
        </w:rPr>
        <w:t xml:space="preserve">9.2. </w:t>
      </w:r>
      <w:r>
        <w:rPr>
          <w:rFonts w:hint="eastAsia"/>
          <w:szCs w:val="24"/>
        </w:rPr>
        <w:t>包装和运输要求</w:t>
      </w:r>
      <w:r>
        <w:tab/>
      </w:r>
      <w:r>
        <w:fldChar w:fldCharType="begin"/>
      </w:r>
      <w:r>
        <w:instrText xml:space="preserve"> PAGEREF _Toc13858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25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_Toc7312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default"/>
          <w:szCs w:val="28"/>
        </w:rPr>
        <w:t xml:space="preserve">10. </w:t>
      </w:r>
      <w:r>
        <w:rPr>
          <w:rFonts w:hint="eastAsia"/>
          <w:szCs w:val="28"/>
        </w:rPr>
        <w:t>主要风险及管控措施</w:t>
      </w:r>
      <w:r>
        <w:tab/>
      </w:r>
      <w:r>
        <w:fldChar w:fldCharType="begin"/>
      </w:r>
      <w:r>
        <w:instrText xml:space="preserve"> PAGEREF _Toc7312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spacing w:line="240" w:lineRule="auto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  <w:sectPr>
          <w:footerReference r:id="rId9" w:type="default"/>
          <w:pgSz w:w="11907" w:h="16840"/>
          <w:pgMar w:top="1571" w:right="1191" w:bottom="1247" w:left="1191" w:header="851" w:footer="567" w:gutter="567"/>
          <w:pgNumType w:fmt="upperRoman"/>
          <w:cols w:space="720" w:num="1"/>
          <w:docGrid w:linePitch="286" w:charSpace="535"/>
        </w:sectPr>
      </w:pPr>
    </w:p>
    <w:p>
      <w:pPr>
        <w:pStyle w:val="2"/>
        <w:numPr>
          <w:ilvl w:val="0"/>
          <w:numId w:val="2"/>
        </w:numPr>
        <w:rPr>
          <w:sz w:val="28"/>
          <w:szCs w:val="28"/>
        </w:rPr>
      </w:pPr>
      <w:bookmarkStart w:id="0" w:name="_Toc19971"/>
      <w:bookmarkStart w:id="1" w:name="_Toc25059"/>
      <w:r>
        <w:rPr>
          <w:rFonts w:hint="eastAsia"/>
          <w:sz w:val="28"/>
          <w:szCs w:val="28"/>
        </w:rPr>
        <w:t>产品简介</w:t>
      </w:r>
      <w:bookmarkEnd w:id="0"/>
      <w:bookmarkEnd w:id="1"/>
    </w:p>
    <w:p>
      <w:pPr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信号同步板（GX3-SCU-01）标准3U PXI结构板卡，主要用于激光光源图像采集模块的脉冲信号同步分发、分倍频控制设备，外观如图1</w:t>
      </w:r>
      <w:r>
        <w:rPr>
          <w:rFonts w:hint="eastAsia" w:ascii="宋体" w:hAnsi="宋体"/>
          <w:sz w:val="24"/>
          <w:szCs w:val="22"/>
          <w:lang w:val="en-US" w:eastAsia="zh-CN"/>
        </w:rPr>
        <w:t>.</w:t>
      </w:r>
      <w:r>
        <w:rPr>
          <w:rFonts w:hint="eastAsia" w:ascii="宋体" w:hAnsi="宋体"/>
          <w:sz w:val="24"/>
          <w:szCs w:val="22"/>
        </w:rPr>
        <w:t>1所示。</w:t>
      </w:r>
    </w:p>
    <w:p>
      <w:pPr>
        <w:pStyle w:val="67"/>
        <w:rPr>
          <w:rFonts w:hint="default" w:cs="Calibri"/>
          <w:b/>
          <w:bCs/>
          <w:color w:val="000000"/>
          <w:sz w:val="21"/>
          <w:szCs w:val="21"/>
          <w:lang w:val="en-US" w:eastAsia="zh-CN"/>
        </w:rPr>
      </w:pPr>
      <w:r>
        <w:rPr>
          <w:rFonts w:ascii="宋体" w:hAnsi="宋体"/>
        </w:rPr>
        <w:drawing>
          <wp:inline distT="0" distB="0" distL="114300" distR="114300">
            <wp:extent cx="772160" cy="3001010"/>
            <wp:effectExtent l="0" t="0" r="508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300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drawing>
          <wp:inline distT="0" distB="0" distL="114300" distR="114300">
            <wp:extent cx="4070985" cy="2595245"/>
            <wp:effectExtent l="0" t="0" r="1333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70985" cy="259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hAnsi="宋体" w:eastAsiaTheme="minorEastAsia"/>
          <w:color w:val="FF0000"/>
          <w:szCs w:val="21"/>
          <w:lang w:val="en-US" w:eastAsia="zh-CN"/>
        </w:rPr>
      </w:pPr>
      <w:bookmarkStart w:id="2" w:name="_Toc17368_WPSOffice_Level2"/>
      <w:bookmarkStart w:id="3" w:name="_Toc19669_WPSOffice_Level2"/>
      <w:r>
        <w:rPr>
          <w:rFonts w:hint="eastAsia" w:hAnsi="宋体"/>
          <w:szCs w:val="21"/>
        </w:rPr>
        <w:t>图</w:t>
      </w:r>
      <w:r>
        <w:rPr>
          <w:rFonts w:hint="eastAsia" w:hAnsi="宋体"/>
          <w:szCs w:val="21"/>
          <w:lang w:val="en-US" w:eastAsia="zh-CN"/>
        </w:rPr>
        <w:t>1.</w:t>
      </w:r>
      <w:r>
        <w:rPr>
          <w:rFonts w:hint="eastAsia" w:hAnsi="宋体"/>
          <w:szCs w:val="21"/>
        </w:rPr>
        <w:t xml:space="preserve">1 </w:t>
      </w:r>
      <w:bookmarkEnd w:id="2"/>
      <w:bookmarkEnd w:id="3"/>
      <w:r>
        <w:rPr>
          <w:rFonts w:hint="eastAsia" w:hAnsi="宋体"/>
          <w:szCs w:val="21"/>
          <w:lang w:val="en-US" w:eastAsia="zh-CN"/>
        </w:rPr>
        <w:t xml:space="preserve"> 信号同步板外观图</w:t>
      </w:r>
    </w:p>
    <w:p>
      <w:pPr>
        <w:pStyle w:val="2"/>
        <w:numPr>
          <w:ilvl w:val="0"/>
          <w:numId w:val="2"/>
        </w:numPr>
        <w:rPr>
          <w:sz w:val="28"/>
          <w:szCs w:val="28"/>
        </w:rPr>
      </w:pPr>
      <w:bookmarkStart w:id="4" w:name="_Toc7877"/>
      <w:bookmarkStart w:id="5" w:name="_Toc8556"/>
      <w:bookmarkStart w:id="6" w:name="_Toc30488"/>
      <w:r>
        <w:rPr>
          <w:rFonts w:hint="eastAsia"/>
          <w:sz w:val="28"/>
          <w:szCs w:val="28"/>
        </w:rPr>
        <w:t>组成清单</w:t>
      </w:r>
      <w:bookmarkEnd w:id="4"/>
      <w:bookmarkEnd w:id="5"/>
      <w:bookmarkEnd w:id="6"/>
    </w:p>
    <w:p>
      <w:pPr>
        <w:ind w:firstLine="480" w:firstLineChars="200"/>
        <w:rPr>
          <w:rFonts w:hint="eastAsia" w:ascii="宋体" w:hAnsi="宋体" w:eastAsiaTheme="minorEastAsia"/>
          <w:sz w:val="24"/>
          <w:szCs w:val="22"/>
          <w:lang w:eastAsia="zh-CN"/>
        </w:rPr>
      </w:pPr>
      <w:r>
        <w:rPr>
          <w:rFonts w:hint="eastAsia" w:ascii="宋体" w:hAnsi="宋体"/>
          <w:sz w:val="24"/>
          <w:szCs w:val="22"/>
        </w:rPr>
        <w:t>每套信号同步板所含部件清单如表2.1</w:t>
      </w:r>
      <w:r>
        <w:rPr>
          <w:rFonts w:hint="eastAsia" w:ascii="宋体" w:hAnsi="宋体"/>
          <w:sz w:val="24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hAnsi="宋体"/>
          <w:szCs w:val="21"/>
          <w:lang w:val="en-US" w:eastAsia="zh-CN"/>
        </w:rPr>
      </w:pPr>
      <w:r>
        <w:rPr>
          <w:rFonts w:hint="eastAsia" w:hAnsi="宋体"/>
          <w:szCs w:val="21"/>
          <w:lang w:val="en-US" w:eastAsia="zh-CN"/>
        </w:rPr>
        <w:t>表2.1  信号同步板部件清单</w:t>
      </w:r>
    </w:p>
    <w:tbl>
      <w:tblPr>
        <w:tblStyle w:val="36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905"/>
        <w:gridCol w:w="1308"/>
        <w:gridCol w:w="2030"/>
        <w:gridCol w:w="719"/>
        <w:gridCol w:w="1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0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一级子件</w:t>
            </w:r>
          </w:p>
        </w:tc>
        <w:tc>
          <w:tcPr>
            <w:tcW w:w="49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品牌</w:t>
            </w:r>
          </w:p>
        </w:tc>
        <w:tc>
          <w:tcPr>
            <w:tcW w:w="71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</w:t>
            </w:r>
          </w:p>
        </w:tc>
        <w:tc>
          <w:tcPr>
            <w:tcW w:w="110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规格</w:t>
            </w:r>
          </w:p>
        </w:tc>
        <w:tc>
          <w:tcPr>
            <w:tcW w:w="392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78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信号同步板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GX3-SCU-01</w:t>
            </w: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线缆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标准SCSI-50pin接口 线长20cm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Cs w:val="21"/>
        </w:rPr>
      </w:pPr>
    </w:p>
    <w:p>
      <w:pPr>
        <w:pStyle w:val="2"/>
        <w:numPr>
          <w:ilvl w:val="0"/>
          <w:numId w:val="2"/>
        </w:numPr>
        <w:rPr>
          <w:sz w:val="28"/>
          <w:szCs w:val="28"/>
        </w:rPr>
      </w:pPr>
      <w:bookmarkStart w:id="7" w:name="_Toc3223"/>
      <w:bookmarkStart w:id="8" w:name="_Toc27067"/>
      <w:bookmarkStart w:id="9" w:name="_Toc17371"/>
      <w:r>
        <w:rPr>
          <w:rFonts w:hint="eastAsia"/>
          <w:sz w:val="28"/>
          <w:szCs w:val="28"/>
        </w:rPr>
        <w:t>技术要求</w:t>
      </w:r>
      <w:bookmarkEnd w:id="7"/>
      <w:bookmarkEnd w:id="8"/>
      <w:bookmarkEnd w:id="9"/>
    </w:p>
    <w:p>
      <w:pPr>
        <w:pStyle w:val="3"/>
        <w:numPr>
          <w:ilvl w:val="1"/>
          <w:numId w:val="2"/>
        </w:numPr>
        <w:rPr>
          <w:rFonts w:ascii="宋体" w:hAnsi="宋体" w:cs="宋体"/>
          <w:szCs w:val="24"/>
        </w:rPr>
      </w:pPr>
      <w:bookmarkStart w:id="10" w:name="_Toc8474"/>
      <w:bookmarkStart w:id="11" w:name="_Toc29776"/>
      <w:r>
        <w:rPr>
          <w:rFonts w:hint="eastAsia" w:ascii="宋体" w:hAnsi="宋体" w:cs="宋体"/>
          <w:szCs w:val="24"/>
        </w:rPr>
        <w:t>主要技术条件</w:t>
      </w:r>
      <w:bookmarkEnd w:id="10"/>
    </w:p>
    <w:p>
      <w:pPr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信号同步板技术指标见表</w:t>
      </w:r>
      <w:r>
        <w:rPr>
          <w:rFonts w:hint="eastAsia" w:ascii="宋体" w:hAnsi="宋体"/>
          <w:sz w:val="24"/>
          <w:szCs w:val="22"/>
          <w:lang w:val="en-US" w:eastAsia="zh-CN"/>
        </w:rPr>
        <w:t>3.1所示</w:t>
      </w:r>
      <w:r>
        <w:rPr>
          <w:rFonts w:hint="eastAsia" w:ascii="宋体" w:hAnsi="宋体"/>
          <w:sz w:val="24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hAnsi="宋体"/>
          <w:szCs w:val="21"/>
          <w:lang w:val="en-US" w:eastAsia="zh-CN"/>
        </w:rPr>
      </w:pPr>
      <w:r>
        <w:rPr>
          <w:rFonts w:hint="eastAsia" w:hAnsi="宋体"/>
          <w:szCs w:val="21"/>
          <w:lang w:val="en-US" w:eastAsia="zh-CN"/>
        </w:rPr>
        <w:t>表3.1  信号同步板技术指标</w:t>
      </w:r>
    </w:p>
    <w:tbl>
      <w:tblPr>
        <w:tblStyle w:val="3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971"/>
        <w:gridCol w:w="5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45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6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通讯方式</w:t>
            </w:r>
          </w:p>
        </w:tc>
        <w:tc>
          <w:tcPr>
            <w:tcW w:w="28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RS232串口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6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输入/输出信号</w:t>
            </w:r>
          </w:p>
        </w:tc>
        <w:tc>
          <w:tcPr>
            <w:tcW w:w="28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LVDS脉冲信号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6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信号输出</w:t>
            </w:r>
          </w:p>
        </w:tc>
        <w:tc>
          <w:tcPr>
            <w:tcW w:w="28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6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分倍频控制</w:t>
            </w:r>
          </w:p>
        </w:tc>
        <w:tc>
          <w:tcPr>
            <w:tcW w:w="28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可设置0~255分频及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2/4/8/16/32/64/128倍频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6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电源输入</w:t>
            </w:r>
          </w:p>
        </w:tc>
        <w:tc>
          <w:tcPr>
            <w:tcW w:w="28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12VDC，10W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6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工作温度范围</w:t>
            </w:r>
          </w:p>
        </w:tc>
        <w:tc>
          <w:tcPr>
            <w:tcW w:w="28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-20~50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℃</w:t>
            </w:r>
          </w:p>
        </w:tc>
      </w:tr>
    </w:tbl>
    <w:p>
      <w:pPr>
        <w:ind w:left="0" w:leftChars="0" w:firstLine="0" w:firstLineChars="0"/>
        <w:rPr>
          <w:rFonts w:hint="eastAsia" w:ascii="宋体" w:hAnsi="宋体"/>
          <w:sz w:val="24"/>
          <w:szCs w:val="22"/>
          <w:lang w:val="en-US" w:eastAsia="zh-CN"/>
        </w:rPr>
      </w:pPr>
    </w:p>
    <w:p>
      <w:pPr>
        <w:pStyle w:val="3"/>
        <w:numPr>
          <w:ilvl w:val="1"/>
          <w:numId w:val="2"/>
        </w:numPr>
        <w:rPr>
          <w:rFonts w:ascii="宋体" w:hAnsi="宋体" w:cs="宋体"/>
          <w:szCs w:val="24"/>
        </w:rPr>
      </w:pPr>
      <w:bookmarkStart w:id="12" w:name="_Toc17589"/>
      <w:r>
        <w:rPr>
          <w:rFonts w:hint="eastAsia" w:ascii="宋体" w:hAnsi="宋体" w:cs="宋体"/>
          <w:szCs w:val="24"/>
        </w:rPr>
        <w:t>机械加工</w:t>
      </w:r>
      <w:bookmarkEnd w:id="11"/>
      <w:bookmarkEnd w:id="12"/>
    </w:p>
    <w:p>
      <w:pPr>
        <w:pStyle w:val="4"/>
        <w:numPr>
          <w:ilvl w:val="2"/>
          <w:numId w:val="2"/>
        </w:numPr>
        <w:ind w:left="426" w:firstLine="0"/>
        <w:rPr>
          <w:rFonts w:ascii="宋体" w:hAnsi="宋体" w:eastAsia="宋体" w:cs="宋体"/>
          <w:b w:val="0"/>
          <w:bCs/>
        </w:rPr>
      </w:pPr>
      <w:bookmarkStart w:id="13" w:name="_Toc14740"/>
      <w:bookmarkStart w:id="14" w:name="_Toc27377"/>
      <w:bookmarkStart w:id="15" w:name="_Toc22035"/>
      <w:r>
        <w:rPr>
          <w:rFonts w:hint="eastAsia" w:ascii="宋体" w:hAnsi="宋体" w:eastAsia="宋体" w:cs="宋体"/>
          <w:b w:val="0"/>
          <w:bCs/>
        </w:rPr>
        <w:t>外形尺寸</w:t>
      </w:r>
      <w:bookmarkEnd w:id="13"/>
      <w:bookmarkEnd w:id="14"/>
      <w:bookmarkEnd w:id="15"/>
    </w:p>
    <w:p>
      <w:pPr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信号同步板采用标准4hp宽度，3U高度设计，前面板黑色阳极氧化，PCB尺寸如图</w:t>
      </w:r>
      <w:r>
        <w:rPr>
          <w:rFonts w:hint="eastAsia" w:ascii="宋体" w:hAnsi="宋体"/>
          <w:sz w:val="24"/>
          <w:szCs w:val="22"/>
          <w:lang w:val="en-US" w:eastAsia="zh-CN"/>
        </w:rPr>
        <w:t>3.</w:t>
      </w:r>
      <w:r>
        <w:rPr>
          <w:rFonts w:hint="eastAsia" w:ascii="宋体" w:hAnsi="宋体"/>
          <w:sz w:val="24"/>
          <w:szCs w:val="22"/>
        </w:rPr>
        <w:t>1所示。</w:t>
      </w:r>
    </w:p>
    <w:p>
      <w:pPr>
        <w:ind w:left="0" w:leftChars="0" w:firstLine="0" w:firstLineChars="0"/>
        <w:jc w:val="center"/>
        <w:rPr>
          <w:rFonts w:hint="eastAsia" w:ascii="宋体" w:hAnsi="宋体"/>
          <w:sz w:val="24"/>
          <w:szCs w:val="22"/>
        </w:rPr>
      </w:pPr>
      <w:r>
        <w:rPr>
          <w:rFonts w:ascii="宋体" w:hAnsi="宋体"/>
        </w:rPr>
        <w:drawing>
          <wp:inline distT="0" distB="0" distL="114300" distR="114300">
            <wp:extent cx="4642485" cy="2767330"/>
            <wp:effectExtent l="0" t="0" r="5715" b="635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42485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center"/>
        <w:rPr>
          <w:rFonts w:hint="eastAsia" w:ascii="宋体" w:hAnsi="宋体"/>
          <w:sz w:val="24"/>
          <w:szCs w:val="22"/>
        </w:rPr>
      </w:pPr>
      <w:r>
        <w:rPr>
          <w:rFonts w:hint="eastAsia" w:hAnsi="宋体"/>
          <w:szCs w:val="21"/>
          <w:lang w:val="en-US" w:eastAsia="zh-CN"/>
        </w:rPr>
        <w:t>图3.1  信号同步板尺寸示意图</w:t>
      </w:r>
    </w:p>
    <w:p>
      <w:pPr>
        <w:pStyle w:val="4"/>
        <w:numPr>
          <w:ilvl w:val="2"/>
          <w:numId w:val="2"/>
        </w:numPr>
        <w:ind w:left="426" w:firstLine="0"/>
        <w:rPr>
          <w:rFonts w:ascii="宋体" w:hAnsi="宋体" w:eastAsia="宋体" w:cs="宋体"/>
          <w:b w:val="0"/>
          <w:bCs/>
        </w:rPr>
      </w:pPr>
      <w:bookmarkStart w:id="16" w:name="_Toc11896"/>
      <w:bookmarkStart w:id="17" w:name="_Toc13977"/>
      <w:bookmarkStart w:id="18" w:name="_Toc25307"/>
      <w:r>
        <w:rPr>
          <w:rFonts w:hint="eastAsia" w:ascii="宋体" w:hAnsi="宋体" w:eastAsia="宋体" w:cs="宋体"/>
          <w:b w:val="0"/>
          <w:bCs/>
        </w:rPr>
        <w:t>开孔布局</w:t>
      </w:r>
      <w:bookmarkEnd w:id="16"/>
      <w:bookmarkEnd w:id="17"/>
      <w:bookmarkEnd w:id="18"/>
    </w:p>
    <w:p>
      <w:pPr>
        <w:ind w:firstLine="480" w:firstLineChars="200"/>
        <w:rPr>
          <w:rFonts w:hint="eastAsia" w:hAnsi="宋体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无。</w:t>
      </w:r>
    </w:p>
    <w:p>
      <w:pPr>
        <w:pStyle w:val="4"/>
        <w:numPr>
          <w:ilvl w:val="2"/>
          <w:numId w:val="2"/>
        </w:numPr>
        <w:ind w:left="426" w:firstLine="0"/>
        <w:rPr>
          <w:rFonts w:ascii="宋体" w:hAnsi="宋体" w:eastAsia="宋体" w:cs="宋体"/>
          <w:b w:val="0"/>
          <w:bCs/>
        </w:rPr>
      </w:pPr>
      <w:bookmarkStart w:id="19" w:name="_Toc16641"/>
      <w:bookmarkStart w:id="20" w:name="_Toc6535"/>
      <w:r>
        <w:rPr>
          <w:rFonts w:hint="eastAsia" w:ascii="宋体" w:hAnsi="宋体" w:eastAsia="宋体" w:cs="宋体"/>
          <w:b w:val="0"/>
          <w:bCs/>
        </w:rPr>
        <w:t>加工技术要求</w:t>
      </w:r>
      <w:bookmarkEnd w:id="19"/>
      <w:bookmarkEnd w:id="20"/>
    </w:p>
    <w:p>
      <w:pPr>
        <w:ind w:firstLine="480" w:firstLineChars="200"/>
        <w:rPr>
          <w:rFonts w:hint="eastAsia" w:ascii="宋体" w:hAnsi="宋体"/>
          <w:sz w:val="24"/>
          <w:szCs w:val="22"/>
          <w:highlight w:val="yellow"/>
        </w:rPr>
      </w:pPr>
      <w:r>
        <w:rPr>
          <w:rFonts w:hint="eastAsia" w:ascii="宋体" w:hAnsi="宋体"/>
          <w:sz w:val="24"/>
          <w:szCs w:val="22"/>
        </w:rPr>
        <w:t>无。</w:t>
      </w:r>
    </w:p>
    <w:p>
      <w:pPr>
        <w:pStyle w:val="4"/>
        <w:numPr>
          <w:ilvl w:val="2"/>
          <w:numId w:val="2"/>
        </w:numPr>
        <w:ind w:left="426" w:firstLine="0"/>
        <w:rPr>
          <w:rFonts w:ascii="宋体" w:hAnsi="宋体" w:eastAsia="宋体" w:cs="宋体"/>
          <w:b w:val="0"/>
          <w:bCs/>
        </w:rPr>
      </w:pPr>
      <w:bookmarkStart w:id="21" w:name="_Toc28476"/>
      <w:bookmarkStart w:id="22" w:name="_Toc16234"/>
      <w:r>
        <w:rPr>
          <w:rFonts w:hint="eastAsia" w:ascii="宋体" w:hAnsi="宋体" w:eastAsia="宋体" w:cs="宋体"/>
          <w:b w:val="0"/>
          <w:bCs/>
        </w:rPr>
        <w:t>颜色字体</w:t>
      </w:r>
      <w:bookmarkEnd w:id="21"/>
      <w:bookmarkEnd w:id="22"/>
    </w:p>
    <w:p>
      <w:pPr>
        <w:ind w:firstLine="480" w:firstLineChars="200"/>
        <w:rPr>
          <w:rFonts w:hint="eastAsia" w:ascii="宋体" w:hAnsi="宋体"/>
          <w:sz w:val="24"/>
          <w:szCs w:val="22"/>
          <w:highlight w:val="yellow"/>
          <w:lang w:val="en-US" w:eastAsia="zh-CN"/>
        </w:rPr>
      </w:pPr>
      <w:r>
        <w:rPr>
          <w:rFonts w:hint="eastAsia" w:ascii="宋体" w:hAnsi="宋体"/>
          <w:sz w:val="24"/>
          <w:szCs w:val="22"/>
          <w:highlight w:val="none"/>
          <w:lang w:val="en-US" w:eastAsia="zh-CN"/>
        </w:rPr>
        <w:t>无。</w:t>
      </w:r>
    </w:p>
    <w:p>
      <w:pPr>
        <w:pStyle w:val="3"/>
        <w:numPr>
          <w:ilvl w:val="1"/>
          <w:numId w:val="2"/>
        </w:numPr>
        <w:rPr>
          <w:rFonts w:ascii="宋体" w:hAnsi="宋体" w:cs="宋体"/>
          <w:szCs w:val="24"/>
        </w:rPr>
      </w:pPr>
      <w:bookmarkStart w:id="23" w:name="_Toc6787"/>
      <w:bookmarkStart w:id="24" w:name="_Toc2751"/>
      <w:bookmarkStart w:id="25" w:name="_Toc3390"/>
      <w:r>
        <w:rPr>
          <w:rFonts w:hint="eastAsia"/>
          <w:szCs w:val="24"/>
        </w:rPr>
        <w:t>器件</w:t>
      </w:r>
      <w:r>
        <w:rPr>
          <w:rFonts w:hint="eastAsia" w:ascii="宋体" w:hAnsi="宋体" w:cs="宋体"/>
          <w:szCs w:val="24"/>
        </w:rPr>
        <w:t>布局</w:t>
      </w:r>
      <w:bookmarkEnd w:id="23"/>
      <w:bookmarkEnd w:id="24"/>
      <w:bookmarkEnd w:id="25"/>
    </w:p>
    <w:p>
      <w:pPr>
        <w:ind w:firstLine="480" w:firstLineChars="200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无。</w:t>
      </w:r>
    </w:p>
    <w:p>
      <w:pPr>
        <w:pStyle w:val="3"/>
        <w:numPr>
          <w:ilvl w:val="1"/>
          <w:numId w:val="2"/>
        </w:numPr>
        <w:rPr>
          <w:rFonts w:ascii="宋体" w:hAnsi="宋体" w:cs="宋体"/>
          <w:szCs w:val="24"/>
        </w:rPr>
      </w:pPr>
      <w:bookmarkStart w:id="26" w:name="_Toc11704"/>
      <w:bookmarkStart w:id="27" w:name="_Toc24094"/>
      <w:bookmarkStart w:id="28" w:name="_Toc19892"/>
      <w:r>
        <w:rPr>
          <w:rFonts w:hint="eastAsia" w:ascii="宋体" w:hAnsi="宋体" w:cs="宋体"/>
          <w:szCs w:val="24"/>
        </w:rPr>
        <w:t>电气要求</w:t>
      </w:r>
      <w:bookmarkEnd w:id="26"/>
      <w:bookmarkEnd w:id="27"/>
      <w:bookmarkEnd w:id="28"/>
      <w:bookmarkStart w:id="29" w:name="_Toc6298"/>
      <w:bookmarkStart w:id="30" w:name="_Toc21891"/>
    </w:p>
    <w:p>
      <w:pPr>
        <w:ind w:firstLine="480" w:firstLineChars="200"/>
        <w:jc w:val="both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电气要求涉及线缆要求、接口定义、接线图等。</w:t>
      </w:r>
    </w:p>
    <w:p>
      <w:pPr>
        <w:pStyle w:val="4"/>
        <w:numPr>
          <w:ilvl w:val="2"/>
          <w:numId w:val="2"/>
        </w:numPr>
        <w:ind w:left="426" w:firstLine="0"/>
        <w:rPr>
          <w:rFonts w:hint="eastAsia" w:ascii="宋体" w:hAnsi="宋体" w:eastAsia="宋体" w:cs="宋体"/>
          <w:b w:val="0"/>
          <w:bCs/>
          <w:lang w:val="en-US" w:eastAsia="zh-CN"/>
        </w:rPr>
      </w:pPr>
      <w:bookmarkStart w:id="31" w:name="_Toc5421"/>
      <w:r>
        <w:rPr>
          <w:rFonts w:hint="eastAsia" w:ascii="宋体" w:hAnsi="宋体" w:eastAsia="宋体" w:cs="宋体"/>
          <w:b w:val="0"/>
          <w:bCs/>
          <w:lang w:val="en-US" w:eastAsia="zh-CN"/>
        </w:rPr>
        <w:t>线缆要求</w:t>
      </w:r>
      <w:bookmarkEnd w:id="31"/>
    </w:p>
    <w:p>
      <w:pPr>
        <w:ind w:firstLine="480" w:firstLineChars="200"/>
        <w:jc w:val="both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信号同步板线缆要求见表3.2所示。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hAnsi="宋体"/>
          <w:szCs w:val="21"/>
          <w:lang w:val="en-US" w:eastAsia="zh-CN"/>
        </w:rPr>
      </w:pPr>
      <w:r>
        <w:rPr>
          <w:rFonts w:hint="eastAsia" w:hAnsi="宋体"/>
          <w:szCs w:val="21"/>
          <w:lang w:val="en-US" w:eastAsia="zh-CN"/>
        </w:rPr>
        <w:t>表3.2  线缆要求</w:t>
      </w:r>
    </w:p>
    <w:tbl>
      <w:tblPr>
        <w:tblStyle w:val="3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840"/>
        <w:gridCol w:w="4420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99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  <w:t>序号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  <w:t>名称</w:t>
            </w:r>
          </w:p>
        </w:tc>
        <w:tc>
          <w:tcPr>
            <w:tcW w:w="2409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  <w:t>型号、规格要求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99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 w:val="0"/>
                <w:bCs w:val="0"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snapToGrid w:val="0"/>
                <w:sz w:val="21"/>
                <w:szCs w:val="21"/>
              </w:rPr>
              <w:t>1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 w:val="0"/>
                <w:bCs w:val="0"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snapToGrid w:val="0"/>
                <w:sz w:val="21"/>
                <w:szCs w:val="21"/>
              </w:rPr>
              <w:t>线缆</w:t>
            </w:r>
          </w:p>
        </w:tc>
        <w:tc>
          <w:tcPr>
            <w:tcW w:w="2409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 w:val="0"/>
                <w:bCs w:val="0"/>
                <w:snapToGrid w:val="0"/>
                <w:color w:val="FF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snapToGrid w:val="0"/>
                <w:sz w:val="21"/>
                <w:szCs w:val="21"/>
              </w:rPr>
              <w:t>43×30AWG+6×22AWG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 w:val="0"/>
                <w:bCs w:val="0"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snapToGrid w:val="0"/>
                <w:sz w:val="21"/>
                <w:szCs w:val="21"/>
              </w:rPr>
              <w:t>1套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/>
          <w:sz w:val="21"/>
          <w:szCs w:val="20"/>
          <w:lang w:val="en-US" w:eastAsia="zh-CN"/>
        </w:rPr>
      </w:pPr>
    </w:p>
    <w:p>
      <w:pPr>
        <w:pStyle w:val="4"/>
        <w:numPr>
          <w:ilvl w:val="2"/>
          <w:numId w:val="2"/>
        </w:numPr>
        <w:ind w:left="426" w:firstLine="0"/>
        <w:rPr>
          <w:rFonts w:hint="eastAsia" w:ascii="宋体" w:hAnsi="宋体" w:eastAsia="宋体" w:cs="宋体"/>
          <w:b w:val="0"/>
          <w:bCs/>
          <w:lang w:val="en-US" w:eastAsia="zh-CN"/>
        </w:rPr>
      </w:pPr>
      <w:bookmarkStart w:id="32" w:name="_Toc23636"/>
      <w:bookmarkStart w:id="33" w:name="_Toc17848_WPSOffice_Level2"/>
      <w:bookmarkStart w:id="34" w:name="_Toc11009"/>
      <w:bookmarkStart w:id="35" w:name="_Toc24050"/>
      <w:bookmarkStart w:id="36" w:name="_Toc107571325"/>
      <w:bookmarkStart w:id="37" w:name="_Toc20514"/>
      <w:r>
        <w:rPr>
          <w:rFonts w:hint="eastAsia" w:ascii="宋体" w:hAnsi="宋体" w:eastAsia="宋体" w:cs="宋体"/>
          <w:b w:val="0"/>
          <w:bCs/>
          <w:lang w:val="en-US" w:eastAsia="zh-CN"/>
        </w:rPr>
        <w:t>接口定义</w:t>
      </w:r>
      <w:bookmarkEnd w:id="32"/>
      <w:bookmarkEnd w:id="33"/>
      <w:bookmarkEnd w:id="34"/>
      <w:bookmarkEnd w:id="35"/>
      <w:bookmarkEnd w:id="36"/>
      <w:bookmarkEnd w:id="37"/>
    </w:p>
    <w:p>
      <w:pPr>
        <w:ind w:firstLine="480" w:firstLineChars="200"/>
        <w:jc w:val="both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前面板连接器定义见图3.2和表3.3所示。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hAnsi="宋体"/>
          <w:szCs w:val="21"/>
          <w:lang w:val="en-US" w:eastAsia="zh-CN"/>
        </w:rPr>
      </w:pPr>
      <w:r>
        <w:rPr>
          <w:rFonts w:ascii="黑体" w:hAnsi="黑体" w:eastAsia="黑体"/>
        </w:rPr>
        <w:drawing>
          <wp:inline distT="0" distB="0" distL="114300" distR="114300">
            <wp:extent cx="2800985" cy="636905"/>
            <wp:effectExtent l="0" t="0" r="3175" b="317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0098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hAnsi="宋体"/>
          <w:szCs w:val="21"/>
          <w:lang w:val="en-US" w:eastAsia="zh-CN"/>
        </w:rPr>
      </w:pPr>
      <w:r>
        <w:rPr>
          <w:rFonts w:hint="eastAsia" w:hAnsi="宋体"/>
          <w:szCs w:val="21"/>
          <w:lang w:val="en-US" w:eastAsia="zh-CN"/>
        </w:rPr>
        <w:t>图3.2  信号同步板前面板连接器（母）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hAnsi="宋体"/>
          <w:szCs w:val="21"/>
          <w:lang w:val="en-US" w:eastAsia="zh-CN"/>
        </w:rPr>
      </w:pPr>
      <w:r>
        <w:rPr>
          <w:rFonts w:hint="eastAsia" w:hAnsi="宋体"/>
          <w:szCs w:val="21"/>
          <w:lang w:val="en-US" w:eastAsia="zh-CN"/>
        </w:rPr>
        <w:t>表3.3  信号同步板前面板连接器定义表</w:t>
      </w:r>
    </w:p>
    <w:tbl>
      <w:tblPr>
        <w:tblStyle w:val="3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654"/>
        <w:gridCol w:w="2329"/>
        <w:gridCol w:w="2404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9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信号类型</w:t>
            </w:r>
          </w:p>
        </w:tc>
        <w:tc>
          <w:tcPr>
            <w:tcW w:w="1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针脚</w:t>
            </w:r>
          </w:p>
        </w:tc>
        <w:tc>
          <w:tcPr>
            <w:tcW w:w="1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定义</w:t>
            </w:r>
          </w:p>
        </w:tc>
        <w:tc>
          <w:tcPr>
            <w:tcW w:w="1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90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信号输入</w:t>
            </w:r>
          </w:p>
        </w:tc>
        <w:tc>
          <w:tcPr>
            <w:tcW w:w="1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1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A+_IN</w:t>
            </w:r>
          </w:p>
        </w:tc>
        <w:tc>
          <w:tcPr>
            <w:tcW w:w="1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6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25</w:t>
            </w:r>
          </w:p>
        </w:tc>
        <w:tc>
          <w:tcPr>
            <w:tcW w:w="131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A-_IN</w:t>
            </w:r>
          </w:p>
        </w:tc>
        <w:tc>
          <w:tcPr>
            <w:tcW w:w="101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6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49</w:t>
            </w:r>
          </w:p>
        </w:tc>
        <w:tc>
          <w:tcPr>
            <w:tcW w:w="131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B+_IN</w:t>
            </w:r>
          </w:p>
        </w:tc>
        <w:tc>
          <w:tcPr>
            <w:tcW w:w="101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6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131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B-_IN</w:t>
            </w:r>
          </w:p>
        </w:tc>
        <w:tc>
          <w:tcPr>
            <w:tcW w:w="101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6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48</w:t>
            </w:r>
          </w:p>
        </w:tc>
        <w:tc>
          <w:tcPr>
            <w:tcW w:w="131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GND（-5VDC_OUT）</w:t>
            </w:r>
          </w:p>
        </w:tc>
        <w:tc>
          <w:tcPr>
            <w:tcW w:w="101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2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01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6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47</w:t>
            </w:r>
          </w:p>
        </w:tc>
        <w:tc>
          <w:tcPr>
            <w:tcW w:w="131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+5VDC_OUT</w:t>
            </w:r>
          </w:p>
        </w:tc>
        <w:tc>
          <w:tcPr>
            <w:tcW w:w="101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5V电平输出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90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信号输出</w:t>
            </w:r>
          </w:p>
        </w:tc>
        <w:tc>
          <w:tcPr>
            <w:tcW w:w="1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21、29、17、15、13、11、9、5</w:t>
            </w:r>
          </w:p>
        </w:tc>
        <w:tc>
          <w:tcPr>
            <w:tcW w:w="1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A+_OUT</w:t>
            </w:r>
          </w:p>
        </w:tc>
        <w:tc>
          <w:tcPr>
            <w:tcW w:w="1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6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22、20、18、16、14、12、10、6</w:t>
            </w:r>
          </w:p>
        </w:tc>
        <w:tc>
          <w:tcPr>
            <w:tcW w:w="131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A-_OUT</w:t>
            </w:r>
          </w:p>
        </w:tc>
        <w:tc>
          <w:tcPr>
            <w:tcW w:w="101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6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45、42、39、36、33、30、7、2</w:t>
            </w:r>
          </w:p>
        </w:tc>
        <w:tc>
          <w:tcPr>
            <w:tcW w:w="131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B+_OUT</w:t>
            </w:r>
          </w:p>
        </w:tc>
        <w:tc>
          <w:tcPr>
            <w:tcW w:w="101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6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46、43、40、37、34、31、8、3</w:t>
            </w:r>
          </w:p>
        </w:tc>
        <w:tc>
          <w:tcPr>
            <w:tcW w:w="131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B-_OUT</w:t>
            </w:r>
          </w:p>
        </w:tc>
        <w:tc>
          <w:tcPr>
            <w:tcW w:w="101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2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01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6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1、4、23、32、35、38、41、44</w:t>
            </w:r>
          </w:p>
        </w:tc>
        <w:tc>
          <w:tcPr>
            <w:tcW w:w="131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GND</w:t>
            </w:r>
          </w:p>
        </w:tc>
        <w:tc>
          <w:tcPr>
            <w:tcW w:w="101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90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232串口信号</w:t>
            </w:r>
          </w:p>
        </w:tc>
        <w:tc>
          <w:tcPr>
            <w:tcW w:w="1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1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TXD</w:t>
            </w:r>
          </w:p>
        </w:tc>
        <w:tc>
          <w:tcPr>
            <w:tcW w:w="1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6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27</w:t>
            </w:r>
          </w:p>
        </w:tc>
        <w:tc>
          <w:tcPr>
            <w:tcW w:w="131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RXD</w:t>
            </w:r>
          </w:p>
        </w:tc>
        <w:tc>
          <w:tcPr>
            <w:tcW w:w="101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6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131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GND</w:t>
            </w:r>
          </w:p>
        </w:tc>
        <w:tc>
          <w:tcPr>
            <w:tcW w:w="101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hAnsi="宋体"/>
          <w:szCs w:val="21"/>
          <w:lang w:val="en-US" w:eastAsia="zh-CN"/>
        </w:rPr>
      </w:pPr>
    </w:p>
    <w:p>
      <w:pPr>
        <w:ind w:firstLine="480" w:firstLineChars="200"/>
        <w:jc w:val="both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背板XJ4连接器定义见图3.3和表3.4所示。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宋体" w:hAnsi="宋体"/>
          <w:sz w:val="21"/>
          <w:szCs w:val="20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</w:rPr>
        <w:drawing>
          <wp:inline distT="0" distB="0" distL="114300" distR="114300">
            <wp:extent cx="2837815" cy="1143000"/>
            <wp:effectExtent l="0" t="0" r="12065" b="0"/>
            <wp:docPr id="6" name="图片 5" descr="XJ4定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XJ4定义"/>
                    <pic:cNvPicPr>
                      <a:picLocks noChangeAspect="1"/>
                    </pic:cNvPicPr>
                  </pic:nvPicPr>
                  <pic:blipFill>
                    <a:blip r:embed="rId16"/>
                    <a:srcRect t="11433" r="14470" b="10649"/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hAnsi="宋体"/>
          <w:szCs w:val="21"/>
          <w:lang w:val="en-US" w:eastAsia="zh-CN"/>
        </w:rPr>
      </w:pPr>
      <w:r>
        <w:rPr>
          <w:rFonts w:hint="eastAsia" w:hAnsi="宋体"/>
          <w:szCs w:val="21"/>
          <w:lang w:val="en-US" w:eastAsia="zh-CN"/>
        </w:rPr>
        <w:t>图3.3  信号同步板背板XJ4连接器（图中右侧）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hAnsi="宋体"/>
          <w:szCs w:val="21"/>
          <w:lang w:val="en-US" w:eastAsia="zh-CN"/>
        </w:rPr>
      </w:pPr>
      <w:r>
        <w:rPr>
          <w:rFonts w:hint="eastAsia" w:hAnsi="宋体"/>
          <w:szCs w:val="21"/>
          <w:lang w:val="en-US" w:eastAsia="zh-CN"/>
        </w:rPr>
        <w:t>表3.4  背板XJ4接口定义表</w:t>
      </w:r>
    </w:p>
    <w:tbl>
      <w:tblPr>
        <w:tblStyle w:val="36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505"/>
        <w:gridCol w:w="1647"/>
        <w:gridCol w:w="1480"/>
        <w:gridCol w:w="1480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针脚位置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A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B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C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D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/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/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/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/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/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GND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/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/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12VDC_IN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12VDC_IN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GND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GND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GND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GND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GND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12VDC_IN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12VDC_IN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12VDC_IN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PXI-TIG3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PXI-TIG4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/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GND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6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PXI-TIG2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GND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/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/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PXI-TIG1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PXI-TIG0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/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GND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8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12VDC_IN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GND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12VDC_IN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/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注：PXI-TIG0~4分别对应一路脉冲信号的A+、A-、B+、B-、GND。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ind w:firstLine="480" w:firstLineChars="200"/>
        <w:jc w:val="both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线缆RS232串口DB9连接器定义见图3.4和表3.5所示。</w:t>
      </w:r>
    </w:p>
    <w:p>
      <w:pPr>
        <w:widowControl w:val="0"/>
        <w:spacing w:before="120" w:line="240" w:lineRule="auto"/>
        <w:ind w:firstLine="422"/>
        <w:jc w:val="center"/>
        <w:rPr>
          <w:rFonts w:hint="eastAsia" w:ascii="宋体" w:hAnsi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</w:rPr>
        <w:drawing>
          <wp:inline distT="0" distB="0" distL="114300" distR="114300">
            <wp:extent cx="3039110" cy="1305560"/>
            <wp:effectExtent l="0" t="0" r="8890" b="5080"/>
            <wp:docPr id="7" name="图片 6" descr="DB9（公头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DB9（公头）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hAnsi="宋体"/>
          <w:szCs w:val="21"/>
          <w:lang w:val="en-US" w:eastAsia="zh-CN"/>
        </w:rPr>
      </w:pPr>
      <w:r>
        <w:rPr>
          <w:rFonts w:hint="eastAsia" w:hAnsi="宋体"/>
          <w:szCs w:val="21"/>
          <w:lang w:val="en-US" w:eastAsia="zh-CN"/>
        </w:rPr>
        <w:t>图3.4  线缆RS232串口DB9连接器（公）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hAnsi="宋体"/>
          <w:szCs w:val="21"/>
          <w:lang w:val="en-US" w:eastAsia="zh-CN"/>
        </w:rPr>
      </w:pPr>
      <w:r>
        <w:rPr>
          <w:rFonts w:hint="eastAsia" w:hAnsi="宋体"/>
          <w:szCs w:val="21"/>
          <w:lang w:val="en-US" w:eastAsia="zh-CN"/>
        </w:rPr>
        <w:t>表3.5  线缆RS232串口DB9连接器定义表</w:t>
      </w:r>
    </w:p>
    <w:tbl>
      <w:tblPr>
        <w:tblStyle w:val="36"/>
        <w:tblW w:w="48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26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针脚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定义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RXD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TXD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GND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/>
          <w:sz w:val="21"/>
          <w:szCs w:val="20"/>
          <w:lang w:val="en-US" w:eastAsia="zh-CN"/>
        </w:rPr>
      </w:pPr>
    </w:p>
    <w:p>
      <w:pPr>
        <w:ind w:firstLine="480" w:firstLineChars="200"/>
        <w:jc w:val="both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线缆5VDC_OUT及脉冲输入DB9连接器定义见图3.5和表3.6所示。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/>
          <w:sz w:val="21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hAnsi="宋体"/>
          <w:szCs w:val="21"/>
          <w:lang w:val="en-US" w:eastAsia="zh-CN"/>
        </w:rPr>
      </w:pPr>
      <w:r>
        <w:rPr>
          <w:rFonts w:hint="eastAsia" w:hAnsi="宋体"/>
          <w:szCs w:val="21"/>
          <w:lang w:val="en-US" w:eastAsia="zh-CN"/>
        </w:rPr>
        <w:drawing>
          <wp:inline distT="0" distB="0" distL="114300" distR="114300">
            <wp:extent cx="2891790" cy="1252855"/>
            <wp:effectExtent l="0" t="0" r="3810" b="12065"/>
            <wp:docPr id="9" name="图片 7" descr="DB9（母头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DB9（母头）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9179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hAnsi="宋体"/>
          <w:szCs w:val="21"/>
          <w:lang w:val="en-US" w:eastAsia="zh-CN"/>
        </w:rPr>
      </w:pPr>
      <w:r>
        <w:rPr>
          <w:rFonts w:hint="eastAsia" w:hAnsi="宋体"/>
          <w:szCs w:val="21"/>
          <w:lang w:val="en-US" w:eastAsia="zh-CN"/>
        </w:rPr>
        <w:t>图3.5  线缆5VDC_OUT及脉冲输入DB9连接器（母）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/>
          <w:sz w:val="21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/>
          <w:sz w:val="21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hAnsi="宋体"/>
          <w:szCs w:val="21"/>
          <w:lang w:val="en-US" w:eastAsia="zh-CN"/>
        </w:rPr>
      </w:pPr>
      <w:r>
        <w:rPr>
          <w:rFonts w:hint="eastAsia" w:hAnsi="宋体"/>
          <w:szCs w:val="21"/>
          <w:lang w:val="en-US" w:eastAsia="zh-CN"/>
        </w:rPr>
        <w:t>表3.6  线缆5VDC_OUT及脉冲输入DB9连接器定义表</w:t>
      </w:r>
    </w:p>
    <w:tbl>
      <w:tblPr>
        <w:tblStyle w:val="36"/>
        <w:tblW w:w="48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26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针脚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定义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A+_IN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A-_IN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B+_IN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B-_IN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GND（-5VDC_OUT）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+5VDC_OUT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/>
          <w:sz w:val="21"/>
          <w:szCs w:val="20"/>
          <w:lang w:val="en-US" w:eastAsia="zh-CN"/>
        </w:rPr>
      </w:pPr>
    </w:p>
    <w:p>
      <w:pPr>
        <w:ind w:firstLine="480" w:firstLineChars="200"/>
        <w:jc w:val="both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线缆脉冲输出DB9连接器定义见图3.6和表3.7所示。</w:t>
      </w:r>
    </w:p>
    <w:p>
      <w:pPr>
        <w:widowControl w:val="0"/>
        <w:spacing w:before="120" w:line="240" w:lineRule="auto"/>
        <w:ind w:left="0" w:leftChars="0" w:firstLine="0" w:firstLineChars="0"/>
        <w:jc w:val="center"/>
        <w:rPr>
          <w:rFonts w:hint="eastAsia" w:ascii="宋体" w:hAnsi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</w:rPr>
        <w:drawing>
          <wp:inline distT="0" distB="0" distL="114300" distR="114300">
            <wp:extent cx="3562985" cy="1313180"/>
            <wp:effectExtent l="0" t="0" r="3175" b="12700"/>
            <wp:docPr id="13" name="图片 8" descr="DB9（母头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 descr="DB9（母头）"/>
                    <pic:cNvPicPr>
                      <a:picLocks noChangeAspect="1"/>
                    </pic:cNvPicPr>
                  </pic:nvPicPr>
                  <pic:blipFill>
                    <a:blip r:embed="rId18"/>
                    <a:srcRect t="6097" b="8868"/>
                    <a:stretch>
                      <a:fillRect/>
                    </a:stretch>
                  </pic:blipFill>
                  <pic:spPr>
                    <a:xfrm>
                      <a:off x="0" y="0"/>
                      <a:ext cx="356298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spacing w:before="120" w:line="240" w:lineRule="auto"/>
        <w:ind w:left="0" w:leftChars="0" w:firstLine="0" w:firstLineChars="0"/>
        <w:jc w:val="center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图</w:t>
      </w:r>
      <w:r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  <w:t>3.6</w:t>
      </w:r>
      <w:r>
        <w:rPr>
          <w:rFonts w:ascii="Times New Roman" w:hAnsi="Times New Roman"/>
          <w:color w:val="000000"/>
          <w:sz w:val="21"/>
          <w:szCs w:val="21"/>
        </w:rPr>
        <w:t xml:space="preserve">  线缆脉冲输出DB9连接器（母）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/>
          <w:sz w:val="21"/>
          <w:szCs w:val="20"/>
          <w:lang w:val="en-US" w:eastAsia="zh-CN"/>
        </w:rPr>
      </w:pPr>
    </w:p>
    <w:p>
      <w:pPr>
        <w:widowControl w:val="0"/>
        <w:spacing w:before="120" w:line="240" w:lineRule="auto"/>
        <w:ind w:left="0" w:leftChars="0" w:firstLine="0" w:firstLineChars="0"/>
        <w:jc w:val="center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表</w:t>
      </w:r>
      <w:r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  <w:t>3.7</w:t>
      </w:r>
      <w:r>
        <w:rPr>
          <w:rFonts w:ascii="Times New Roman" w:hAnsi="Times New Roman"/>
          <w:color w:val="000000"/>
          <w:sz w:val="21"/>
          <w:szCs w:val="21"/>
        </w:rPr>
        <w:t xml:space="preserve">  线缆脉冲输出DB9连接器定义表</w:t>
      </w:r>
    </w:p>
    <w:tbl>
      <w:tblPr>
        <w:tblStyle w:val="36"/>
        <w:tblW w:w="48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26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针脚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定义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A+_OUT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A-_OUT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B+_OUT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B-_OUT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GND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/>
          <w:sz w:val="21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/>
          <w:sz w:val="21"/>
          <w:szCs w:val="20"/>
          <w:lang w:val="en-US" w:eastAsia="zh-CN"/>
        </w:rPr>
      </w:pPr>
    </w:p>
    <w:p>
      <w:pPr>
        <w:pStyle w:val="4"/>
        <w:numPr>
          <w:ilvl w:val="2"/>
          <w:numId w:val="2"/>
        </w:numPr>
        <w:ind w:left="426" w:firstLine="0"/>
        <w:rPr>
          <w:rFonts w:hint="eastAsia" w:ascii="宋体" w:hAnsi="宋体" w:eastAsia="宋体" w:cs="宋体"/>
          <w:b w:val="0"/>
          <w:bCs/>
          <w:lang w:val="en-US" w:eastAsia="zh-CN"/>
        </w:rPr>
      </w:pPr>
      <w:bookmarkStart w:id="38" w:name="_Toc20041"/>
      <w:bookmarkStart w:id="39" w:name="_Toc26733"/>
      <w:bookmarkStart w:id="40" w:name="_Toc32503"/>
      <w:bookmarkStart w:id="41" w:name="_Toc107571326"/>
      <w:bookmarkStart w:id="42" w:name="_Toc10107_WPSOffice_Level2"/>
      <w:bookmarkStart w:id="43" w:name="_Toc10064"/>
      <w:r>
        <w:rPr>
          <w:rFonts w:hint="eastAsia" w:ascii="宋体" w:hAnsi="宋体" w:eastAsia="宋体" w:cs="宋体"/>
          <w:b w:val="0"/>
          <w:bCs/>
          <w:lang w:val="en-US" w:eastAsia="zh-CN"/>
        </w:rPr>
        <w:t>接线图</w:t>
      </w:r>
      <w:bookmarkEnd w:id="38"/>
      <w:bookmarkEnd w:id="39"/>
      <w:bookmarkEnd w:id="40"/>
      <w:bookmarkEnd w:id="41"/>
      <w:bookmarkEnd w:id="42"/>
      <w:r>
        <w:rPr>
          <w:rFonts w:hint="eastAsia" w:ascii="宋体" w:hAnsi="宋体" w:eastAsia="宋体" w:cs="宋体"/>
          <w:b w:val="0"/>
          <w:bCs/>
          <w:lang w:val="en-US" w:eastAsia="zh-CN"/>
        </w:rPr>
        <w:t>（器件布局）</w:t>
      </w:r>
      <w:bookmarkEnd w:id="43"/>
    </w:p>
    <w:p>
      <w:pPr>
        <w:ind w:firstLine="480" w:firstLineChars="200"/>
        <w:jc w:val="both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信号同步板线缆连接见图3.7所示。</w:t>
      </w:r>
    </w:p>
    <w:p>
      <w:pPr>
        <w:widowControl w:val="0"/>
        <w:spacing w:before="120" w:line="240" w:lineRule="auto"/>
        <w:ind w:left="0" w:leftChars="0" w:firstLine="0" w:firstLineChars="0"/>
        <w:jc w:val="center"/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</w:rPr>
        <w:drawing>
          <wp:inline distT="0" distB="0" distL="114300" distR="114300">
            <wp:extent cx="5972175" cy="2141855"/>
            <wp:effectExtent l="0" t="0" r="1905" b="6985"/>
            <wp:docPr id="15" name="图片 10" descr="接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 descr="接线图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spacing w:before="120" w:line="240" w:lineRule="auto"/>
        <w:ind w:left="0" w:leftChars="0" w:firstLine="0" w:firstLineChars="0"/>
        <w:jc w:val="center"/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  <w:t>图3.7  信号同步板线缆连接示意图</w:t>
      </w:r>
    </w:p>
    <w:p>
      <w:pPr>
        <w:pStyle w:val="3"/>
        <w:numPr>
          <w:ilvl w:val="1"/>
          <w:numId w:val="2"/>
        </w:numPr>
        <w:rPr>
          <w:rFonts w:ascii="宋体" w:hAnsi="宋体" w:cs="宋体"/>
          <w:szCs w:val="24"/>
        </w:rPr>
      </w:pPr>
      <w:bookmarkStart w:id="44" w:name="_Toc5396"/>
      <w:r>
        <w:rPr>
          <w:rFonts w:hint="eastAsia" w:ascii="宋体" w:hAnsi="宋体" w:cs="宋体"/>
          <w:szCs w:val="24"/>
        </w:rPr>
        <w:t>组装要求</w:t>
      </w:r>
      <w:bookmarkEnd w:id="29"/>
      <w:bookmarkEnd w:id="30"/>
      <w:bookmarkEnd w:id="44"/>
    </w:p>
    <w:p>
      <w:pPr>
        <w:ind w:firstLine="480" w:firstLineChars="200"/>
        <w:rPr>
          <w:rFonts w:ascii="宋体" w:cs="宋体"/>
          <w:color w:val="FF0000"/>
          <w:sz w:val="24"/>
          <w:szCs w:val="24"/>
        </w:rPr>
      </w:pPr>
      <w:r>
        <w:rPr>
          <w:rFonts w:hint="eastAsia" w:ascii="宋体" w:hAnsi="宋体"/>
          <w:sz w:val="24"/>
          <w:szCs w:val="22"/>
        </w:rPr>
        <w:t>无。</w:t>
      </w:r>
    </w:p>
    <w:p>
      <w:pPr>
        <w:pStyle w:val="3"/>
        <w:numPr>
          <w:ilvl w:val="1"/>
          <w:numId w:val="2"/>
        </w:numPr>
        <w:rPr>
          <w:rFonts w:ascii="宋体" w:hAnsi="宋体" w:cs="宋体"/>
          <w:szCs w:val="24"/>
        </w:rPr>
      </w:pPr>
      <w:bookmarkStart w:id="45" w:name="_Toc25724"/>
      <w:bookmarkStart w:id="46" w:name="_Toc3988"/>
      <w:r>
        <w:rPr>
          <w:rFonts w:hint="eastAsia" w:ascii="宋体" w:hAnsi="宋体" w:cs="宋体"/>
          <w:szCs w:val="24"/>
        </w:rPr>
        <w:t>其他要求</w:t>
      </w:r>
      <w:bookmarkEnd w:id="45"/>
      <w:bookmarkEnd w:id="46"/>
    </w:p>
    <w:p>
      <w:pPr>
        <w:ind w:firstLine="480" w:firstLineChars="200"/>
        <w:rPr>
          <w:rFonts w:hint="eastAsia" w:ascii="宋体" w:hAnsi="宋体" w:eastAsiaTheme="minorEastAsia"/>
          <w:sz w:val="24"/>
          <w:szCs w:val="22"/>
          <w:lang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1）</w:t>
      </w:r>
      <w:r>
        <w:rPr>
          <w:rFonts w:hint="eastAsia" w:ascii="宋体" w:hAnsi="宋体"/>
          <w:sz w:val="24"/>
          <w:szCs w:val="22"/>
        </w:rPr>
        <w:t>运行温度：-20℃～+50℃</w:t>
      </w:r>
      <w:r>
        <w:rPr>
          <w:rFonts w:hint="eastAsia" w:ascii="宋体" w:hAnsi="宋体"/>
          <w:sz w:val="24"/>
          <w:szCs w:val="22"/>
          <w:lang w:eastAsia="zh-CN"/>
        </w:rPr>
        <w:t>；</w:t>
      </w:r>
    </w:p>
    <w:p>
      <w:pPr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2）存储温度：-40℃～+70℃；</w:t>
      </w:r>
    </w:p>
    <w:p>
      <w:pPr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3）产品及其附件必须带有产品合格证书，并带产品检验及测试报告。</w:t>
      </w:r>
    </w:p>
    <w:p>
      <w:pPr>
        <w:pStyle w:val="2"/>
        <w:numPr>
          <w:ilvl w:val="0"/>
          <w:numId w:val="2"/>
        </w:numPr>
        <w:rPr>
          <w:sz w:val="28"/>
          <w:szCs w:val="28"/>
        </w:rPr>
      </w:pPr>
      <w:bookmarkStart w:id="47" w:name="_Toc19502"/>
      <w:bookmarkStart w:id="48" w:name="_Toc15260"/>
      <w:r>
        <w:rPr>
          <w:rFonts w:hint="eastAsia"/>
          <w:sz w:val="28"/>
          <w:szCs w:val="28"/>
        </w:rPr>
        <w:t>不合格控制要求</w:t>
      </w:r>
      <w:bookmarkEnd w:id="47"/>
      <w:bookmarkEnd w:id="48"/>
    </w:p>
    <w:p>
      <w:pPr>
        <w:ind w:firstLine="480" w:firstLineChars="200"/>
        <w:rPr>
          <w:bCs/>
          <w:sz w:val="24"/>
          <w:szCs w:val="24"/>
        </w:rPr>
      </w:pPr>
      <w:bookmarkStart w:id="49" w:name="_Toc7307"/>
      <w:r>
        <w:rPr>
          <w:rFonts w:hint="eastAsia" w:ascii="宋体" w:cs="宋体"/>
          <w:bCs/>
          <w:sz w:val="24"/>
          <w:szCs w:val="24"/>
        </w:rPr>
        <w:t>供应商不合格产品应按照《不合格品控制程序》进行控制。</w:t>
      </w:r>
    </w:p>
    <w:p>
      <w:pPr>
        <w:pStyle w:val="2"/>
        <w:numPr>
          <w:ilvl w:val="0"/>
          <w:numId w:val="2"/>
        </w:numPr>
        <w:rPr>
          <w:sz w:val="28"/>
          <w:szCs w:val="28"/>
        </w:rPr>
      </w:pPr>
      <w:bookmarkStart w:id="50" w:name="_Toc28697"/>
      <w:r>
        <w:rPr>
          <w:rFonts w:hint="eastAsia"/>
          <w:sz w:val="28"/>
          <w:szCs w:val="28"/>
        </w:rPr>
        <w:t>技术文件清单控制</w:t>
      </w:r>
      <w:bookmarkEnd w:id="49"/>
      <w:bookmarkEnd w:id="50"/>
    </w:p>
    <w:p>
      <w:pPr>
        <w:ind w:firstLine="480" w:firstLineChars="200"/>
        <w:rPr>
          <w:rFonts w:ascii="宋体" w:cs="宋体"/>
          <w:bCs/>
          <w:sz w:val="24"/>
          <w:szCs w:val="24"/>
        </w:rPr>
      </w:pPr>
      <w:r>
        <w:rPr>
          <w:rFonts w:hint="eastAsia" w:ascii="宋体" w:cs="宋体"/>
          <w:bCs/>
          <w:sz w:val="24"/>
          <w:szCs w:val="24"/>
        </w:rPr>
        <w:t>供应商应提供必要的技术资料，技术资料可包括图纸、说明书等。</w:t>
      </w:r>
    </w:p>
    <w:p>
      <w:pPr>
        <w:pStyle w:val="2"/>
        <w:numPr>
          <w:ilvl w:val="0"/>
          <w:numId w:val="2"/>
        </w:numPr>
        <w:rPr>
          <w:sz w:val="28"/>
          <w:szCs w:val="28"/>
        </w:rPr>
      </w:pPr>
      <w:bookmarkStart w:id="51" w:name="_Toc9513"/>
      <w:bookmarkStart w:id="52" w:name="_Toc18260"/>
      <w:r>
        <w:rPr>
          <w:rFonts w:hint="eastAsia"/>
          <w:sz w:val="28"/>
          <w:szCs w:val="28"/>
        </w:rPr>
        <w:t>变更控制</w:t>
      </w:r>
      <w:bookmarkEnd w:id="51"/>
      <w:bookmarkEnd w:id="52"/>
    </w:p>
    <w:p>
      <w:pPr>
        <w:ind w:firstLine="480" w:firstLineChars="200"/>
        <w:rPr>
          <w:rFonts w:ascii="Arial" w:hAnsi="Arial" w:eastAsia="宋体" w:cs="Times New Roman"/>
          <w:b/>
          <w:kern w:val="2"/>
          <w:sz w:val="24"/>
          <w:szCs w:val="24"/>
        </w:rPr>
      </w:pPr>
      <w:r>
        <w:rPr>
          <w:rFonts w:hint="eastAsia" w:ascii="Arial" w:hAnsi="Arial" w:cs="Times New Roman"/>
          <w:bCs/>
          <w:kern w:val="2"/>
          <w:sz w:val="24"/>
          <w:szCs w:val="24"/>
        </w:rPr>
        <w:t>如产品发生变更，供应商应提前至少1个月通知采购部和相关部门。</w:t>
      </w:r>
    </w:p>
    <w:p>
      <w:pPr>
        <w:pStyle w:val="2"/>
        <w:numPr>
          <w:ilvl w:val="0"/>
          <w:numId w:val="2"/>
        </w:numPr>
        <w:rPr>
          <w:sz w:val="28"/>
          <w:szCs w:val="28"/>
        </w:rPr>
      </w:pPr>
      <w:bookmarkStart w:id="53" w:name="_Toc7624"/>
      <w:bookmarkStart w:id="54" w:name="_Toc18494"/>
      <w:r>
        <w:rPr>
          <w:rFonts w:hint="eastAsia"/>
          <w:sz w:val="28"/>
          <w:szCs w:val="28"/>
        </w:rPr>
        <w:t>老化管理</w:t>
      </w:r>
      <w:bookmarkEnd w:id="53"/>
      <w:bookmarkEnd w:id="54"/>
    </w:p>
    <w:p>
      <w:pPr>
        <w:ind w:firstLine="480" w:firstLineChars="200"/>
        <w:rPr>
          <w:rFonts w:ascii="Arial" w:hAnsi="Arial" w:cs="Times New Roman"/>
          <w:bCs/>
          <w:kern w:val="2"/>
          <w:sz w:val="24"/>
          <w:szCs w:val="24"/>
        </w:rPr>
      </w:pPr>
      <w:r>
        <w:rPr>
          <w:rFonts w:hint="eastAsia" w:ascii="Arial" w:hAnsi="Arial" w:cs="Times New Roman"/>
          <w:bCs/>
          <w:kern w:val="2"/>
          <w:sz w:val="24"/>
          <w:szCs w:val="24"/>
        </w:rPr>
        <w:t>供应商</w:t>
      </w:r>
      <w:r>
        <w:rPr>
          <w:rFonts w:hint="eastAsia" w:ascii="Arial" w:hAnsi="Arial" w:eastAsia="宋体" w:cs="Times New Roman"/>
          <w:bCs/>
          <w:kern w:val="2"/>
          <w:sz w:val="24"/>
          <w:szCs w:val="24"/>
        </w:rPr>
        <w:t>质保期内及时</w:t>
      </w:r>
      <w:r>
        <w:rPr>
          <w:rFonts w:hint="eastAsia" w:ascii="宋体" w:cs="宋体"/>
          <w:sz w:val="24"/>
          <w:szCs w:val="24"/>
        </w:rPr>
        <w:t>提供</w:t>
      </w:r>
      <w:r>
        <w:rPr>
          <w:rFonts w:hint="eastAsia" w:ascii="Arial" w:hAnsi="Arial" w:eastAsia="宋体" w:cs="Times New Roman"/>
          <w:bCs/>
          <w:kern w:val="2"/>
          <w:sz w:val="24"/>
          <w:szCs w:val="24"/>
        </w:rPr>
        <w:t>产品及备件的措施</w:t>
      </w:r>
      <w:r>
        <w:rPr>
          <w:rFonts w:hint="eastAsia" w:ascii="Arial" w:hAnsi="Arial" w:cs="Times New Roman"/>
          <w:bCs/>
          <w:kern w:val="2"/>
          <w:sz w:val="24"/>
          <w:szCs w:val="24"/>
        </w:rPr>
        <w:t>（产品升级后，功能可兼容老版产品）。</w:t>
      </w:r>
    </w:p>
    <w:p>
      <w:pPr>
        <w:ind w:firstLine="480" w:firstLineChars="200"/>
        <w:rPr>
          <w:rFonts w:ascii="Arial" w:hAnsi="Arial" w:eastAsia="宋体" w:cs="Times New Roman"/>
          <w:bCs/>
          <w:kern w:val="2"/>
          <w:sz w:val="24"/>
          <w:szCs w:val="24"/>
        </w:rPr>
      </w:pPr>
      <w:r>
        <w:rPr>
          <w:rFonts w:hint="eastAsia" w:ascii="Arial" w:hAnsi="Arial" w:cs="Times New Roman"/>
          <w:bCs/>
          <w:kern w:val="2"/>
          <w:sz w:val="24"/>
          <w:szCs w:val="24"/>
        </w:rPr>
        <w:t>如产品停止供应，供应商应提前至少6个月通知采购部。</w:t>
      </w:r>
    </w:p>
    <w:p>
      <w:pPr>
        <w:pStyle w:val="2"/>
        <w:numPr>
          <w:ilvl w:val="0"/>
          <w:numId w:val="2"/>
        </w:numPr>
        <w:rPr>
          <w:sz w:val="28"/>
          <w:szCs w:val="28"/>
        </w:rPr>
      </w:pPr>
      <w:bookmarkStart w:id="55" w:name="_Toc27701"/>
      <w:bookmarkStart w:id="56" w:name="_Toc17308"/>
      <w:r>
        <w:rPr>
          <w:rFonts w:hint="eastAsia"/>
          <w:sz w:val="28"/>
          <w:szCs w:val="28"/>
        </w:rPr>
        <w:t>标识和可追溯性管理</w:t>
      </w:r>
      <w:bookmarkEnd w:id="55"/>
      <w:bookmarkEnd w:id="56"/>
    </w:p>
    <w:p>
      <w:pPr>
        <w:ind w:firstLine="480" w:firstLineChars="200"/>
        <w:rPr>
          <w:rFonts w:ascii="Arial" w:hAnsi="Arial" w:eastAsia="宋体" w:cs="Times New Roman"/>
          <w:b/>
          <w:kern w:val="2"/>
          <w:sz w:val="28"/>
          <w:szCs w:val="28"/>
        </w:rPr>
      </w:pPr>
      <w:r>
        <w:rPr>
          <w:rFonts w:hint="eastAsia" w:ascii="Arial" w:hAnsi="Arial" w:cs="Times New Roman"/>
          <w:bCs/>
          <w:kern w:val="2"/>
          <w:sz w:val="24"/>
          <w:szCs w:val="24"/>
        </w:rPr>
        <w:t>供应商</w:t>
      </w:r>
      <w:r>
        <w:rPr>
          <w:rFonts w:hint="eastAsia" w:ascii="宋体" w:cs="宋体"/>
          <w:sz w:val="24"/>
          <w:szCs w:val="24"/>
        </w:rPr>
        <w:t>产品应具有唯一标识，标识应制作在产品上，不能制作在产品上时，允许制作在包装物或适当的载体上，该类标识应与产品同步流转。标识的字迹清晰、准确，并</w:t>
      </w:r>
      <w:r>
        <w:rPr>
          <w:rFonts w:hint="eastAsia" w:ascii="宋体" w:cs="宋体"/>
          <w:sz w:val="24"/>
          <w:szCs w:val="24"/>
          <w:lang w:val="en-US" w:eastAsia="zh-CN"/>
        </w:rPr>
        <w:t>与</w:t>
      </w:r>
      <w:r>
        <w:rPr>
          <w:rFonts w:hint="eastAsia" w:ascii="宋体" w:cs="宋体"/>
          <w:sz w:val="24"/>
          <w:szCs w:val="24"/>
        </w:rPr>
        <w:t>产品技术资料相对应。</w:t>
      </w:r>
    </w:p>
    <w:p>
      <w:pPr>
        <w:pStyle w:val="2"/>
        <w:numPr>
          <w:ilvl w:val="0"/>
          <w:numId w:val="2"/>
        </w:numPr>
        <w:rPr>
          <w:sz w:val="28"/>
          <w:szCs w:val="28"/>
        </w:rPr>
      </w:pPr>
      <w:bookmarkStart w:id="57" w:name="_Toc18695"/>
      <w:bookmarkStart w:id="58" w:name="_Toc24925"/>
      <w:r>
        <w:rPr>
          <w:rFonts w:hint="eastAsia"/>
          <w:sz w:val="28"/>
          <w:szCs w:val="28"/>
        </w:rPr>
        <w:t>产品防护要求</w:t>
      </w:r>
      <w:bookmarkEnd w:id="57"/>
      <w:bookmarkEnd w:id="58"/>
    </w:p>
    <w:p>
      <w:pPr>
        <w:pStyle w:val="3"/>
        <w:numPr>
          <w:ilvl w:val="1"/>
          <w:numId w:val="2"/>
        </w:numPr>
        <w:rPr>
          <w:szCs w:val="24"/>
        </w:rPr>
      </w:pPr>
      <w:bookmarkStart w:id="59" w:name="_Toc18293"/>
      <w:bookmarkStart w:id="60" w:name="_Toc31229"/>
      <w:r>
        <w:rPr>
          <w:rFonts w:hint="eastAsia"/>
          <w:szCs w:val="24"/>
        </w:rPr>
        <w:t>生产过程中的防护要求</w:t>
      </w:r>
      <w:bookmarkEnd w:id="59"/>
      <w:bookmarkEnd w:id="60"/>
    </w:p>
    <w:p>
      <w:pPr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Arial" w:hAnsi="Arial" w:cs="Times New Roman"/>
          <w:bCs/>
          <w:kern w:val="2"/>
          <w:sz w:val="24"/>
          <w:szCs w:val="24"/>
        </w:rPr>
        <w:t>供应商</w:t>
      </w:r>
      <w:r>
        <w:rPr>
          <w:rFonts w:hint="eastAsia" w:ascii="宋体" w:cs="宋体"/>
          <w:sz w:val="24"/>
          <w:szCs w:val="24"/>
        </w:rPr>
        <w:t>搬运产品时，应先将流转防护工具/设备放置到位，对产品做到轻拿轻放，防止搬运过程因装卸动作粗暴而损伤产品。在装运物料前，应根据产品大小、数量、高度和宽度，确保产品在运输过程中无倒塌或压坏等现象。</w:t>
      </w:r>
    </w:p>
    <w:p>
      <w:pPr>
        <w:pStyle w:val="3"/>
        <w:numPr>
          <w:ilvl w:val="1"/>
          <w:numId w:val="2"/>
        </w:numPr>
        <w:rPr>
          <w:szCs w:val="24"/>
        </w:rPr>
      </w:pPr>
      <w:bookmarkStart w:id="61" w:name="_Toc1521"/>
      <w:bookmarkStart w:id="62" w:name="_Toc13858"/>
      <w:r>
        <w:rPr>
          <w:rFonts w:hint="eastAsia"/>
          <w:szCs w:val="24"/>
        </w:rPr>
        <w:t>包装和运输要求</w:t>
      </w:r>
      <w:bookmarkEnd w:id="61"/>
      <w:bookmarkEnd w:id="62"/>
    </w:p>
    <w:p>
      <w:pPr>
        <w:ind w:firstLine="480" w:firstLineChars="200"/>
      </w:pPr>
      <w:r>
        <w:rPr>
          <w:rFonts w:hint="eastAsia" w:ascii="Arial" w:hAnsi="Arial" w:cs="Times New Roman"/>
          <w:bCs/>
          <w:kern w:val="2"/>
          <w:sz w:val="24"/>
          <w:szCs w:val="24"/>
        </w:rPr>
        <w:t>供应商提供的</w:t>
      </w:r>
      <w:r>
        <w:rPr>
          <w:rFonts w:hint="eastAsia" w:ascii="宋体" w:cs="宋体"/>
          <w:sz w:val="24"/>
          <w:szCs w:val="24"/>
        </w:rPr>
        <w:t>产品应有包装箱，箱内应有防震、防潮措施，以保证产品不受损坏。</w:t>
      </w:r>
    </w:p>
    <w:p>
      <w:pPr>
        <w:pStyle w:val="2"/>
        <w:numPr>
          <w:ilvl w:val="0"/>
          <w:numId w:val="2"/>
        </w:numPr>
        <w:rPr>
          <w:sz w:val="28"/>
          <w:szCs w:val="28"/>
        </w:rPr>
      </w:pPr>
      <w:bookmarkStart w:id="63" w:name="_Toc29659"/>
      <w:bookmarkStart w:id="64" w:name="_Toc7312"/>
      <w:r>
        <w:rPr>
          <w:rFonts w:hint="eastAsia"/>
          <w:sz w:val="28"/>
          <w:szCs w:val="28"/>
        </w:rPr>
        <w:t>主要风险及管控措施</w:t>
      </w:r>
      <w:bookmarkEnd w:id="63"/>
      <w:bookmarkEnd w:id="64"/>
    </w:p>
    <w:p>
      <w:pPr>
        <w:ind w:firstLine="480" w:firstLineChars="200"/>
        <w:rPr>
          <w:rFonts w:ascii="宋体" w:eastAsia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暂无。</w:t>
      </w:r>
    </w:p>
    <w:p>
      <w:pPr>
        <w:rPr>
          <w:rFonts w:ascii="Times New Roman" w:hAnsi="Times New Roman" w:cs="Times New Roman"/>
        </w:rPr>
      </w:pPr>
    </w:p>
    <w:sectPr>
      <w:footerReference r:id="rId10" w:type="default"/>
      <w:pgSz w:w="11907" w:h="16840"/>
      <w:pgMar w:top="1571" w:right="1191" w:bottom="1247" w:left="1191" w:header="851" w:footer="567" w:gutter="567"/>
      <w:pgNumType w:start="1"/>
      <w:cols w:space="720" w:num="1"/>
      <w:docGrid w:linePitch="286" w:charSpace="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right="360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framePr w:wrap="around" w:vAnchor="text" w:hAnchor="margin" w:xAlign="right" w:y="1"/>
      <w:rPr>
        <w:rStyle w:val="40"/>
      </w:rPr>
    </w:pPr>
    <w:r>
      <w:fldChar w:fldCharType="begin"/>
    </w:r>
    <w:r>
      <w:rPr>
        <w:rStyle w:val="40"/>
      </w:rPr>
      <w:instrText xml:space="preserve">PAGE  </w:instrText>
    </w:r>
    <w:r>
      <w:fldChar w:fldCharType="end"/>
    </w:r>
  </w:p>
  <w:p>
    <w:pPr>
      <w:pStyle w:val="2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right="360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KPF0n9ABAACm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right="360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7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wtMAjMEBAACP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right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3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4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40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instrText xml:space="preserve">SECTIONPAGES   \* MERGEFORMAT</w:instrText>
                          </w:r>
                          <w:r>
                            <w:rPr>
                              <w:sz w:val="18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21"/>
                            </w:rPr>
                            <w:t>4</w: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ind w:right="360"/>
                      <w:jc w:val="center"/>
                    </w:pP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第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4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40"/>
                        <w:sz w:val="18"/>
                        <w:szCs w:val="18"/>
                      </w:rPr>
                      <w:t>8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页 共 </w:t>
                    </w:r>
                    <w:r>
                      <w:rPr>
                        <w:sz w:val="18"/>
                        <w:szCs w:val="21"/>
                      </w:rPr>
                      <w:fldChar w:fldCharType="begin"/>
                    </w:r>
                    <w:r>
                      <w:rPr>
                        <w:sz w:val="18"/>
                        <w:szCs w:val="21"/>
                      </w:rPr>
                      <w:instrText xml:space="preserve"> </w:instrTex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instrText xml:space="preserve">SECTIONPAGES   \* MERGEFORMAT</w:instrText>
                    </w:r>
                    <w:r>
                      <w:rPr>
                        <w:sz w:val="18"/>
                        <w:szCs w:val="21"/>
                      </w:rPr>
                      <w:instrText xml:space="preserve"> </w:instrText>
                    </w:r>
                    <w:r>
                      <w:rPr>
                        <w:sz w:val="18"/>
                        <w:szCs w:val="21"/>
                      </w:rPr>
                      <w:fldChar w:fldCharType="separate"/>
                    </w:r>
                    <w:r>
                      <w:rPr>
                        <w:sz w:val="18"/>
                        <w:szCs w:val="21"/>
                      </w:rPr>
                      <w:t>4</w:t>
                    </w:r>
                    <w:r>
                      <w:rPr>
                        <w:sz w:val="18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-44450</wp:posOffset>
              </wp:positionV>
              <wp:extent cx="5691505" cy="0"/>
              <wp:effectExtent l="0" t="0" r="0" b="0"/>
              <wp:wrapSquare wrapText="bothSides"/>
              <wp:docPr id="10" name="直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150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4" o:spid="_x0000_s1026" o:spt="20" style="position:absolute;left:0pt;margin-left:-0.35pt;margin-top:-3.5pt;height:0pt;width:448.15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aUJsNUAAAAHAQAADwAA&#10;AAAAAAABACAAAAAiAAAAZHJzL2Rvd25yZXYueG1sUEsBAhQAFAAAAAgAh07iQEHO4N/gAQAA0QMA&#10;AA4AAAAAAAAAAQAgAAAAJAEAAGRycy9lMm9Eb2MueG1sUEsFBgAAAAAGAAYAWQEAAHYFAAAAAA==&#10;">
              <v:fill on="f" focussize="0,0"/>
              <v:stroke color="#000000" joinstyle="round"/>
              <v:imagedata o:title=""/>
              <o:lock v:ext="edit" aspectratio="f"/>
              <w10:wrap type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tabs>
        <w:tab w:val="right" w:pos="8946"/>
        <w:tab w:val="clear" w:pos="8640"/>
      </w:tabs>
      <w:wordWrap w:val="0"/>
      <w:spacing w:line="240" w:lineRule="auto"/>
      <w:ind w:right="12" w:firstLine="1094" w:firstLineChars="608"/>
      <w:jc w:val="right"/>
      <w:rPr>
        <w:rFonts w:ascii="仿宋" w:hAnsi="仿宋" w:eastAsia="仿宋" w:cs="仿宋"/>
        <w:sz w:val="18"/>
        <w:szCs w:val="18"/>
      </w:rPr>
    </w:pPr>
    <w:r>
      <w:rPr>
        <w:rFonts w:hint="eastAsia" w:ascii="仿宋_GB2312" w:eastAsia="仿宋_GB2312"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-168275</wp:posOffset>
          </wp:positionV>
          <wp:extent cx="712470" cy="461645"/>
          <wp:effectExtent l="0" t="0" r="11430" b="14605"/>
          <wp:wrapSquare wrapText="bothSides"/>
          <wp:docPr id="16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9"/>
                  <pic:cNvPicPr>
                    <a:picLocks noChangeAspect="1"/>
                  </pic:cNvPicPr>
                </pic:nvPicPr>
                <pic:blipFill>
                  <a:blip r:embed="rId1"/>
                  <a:srcRect l="7660" r="11873" b="-116"/>
                  <a:stretch>
                    <a:fillRect/>
                  </a:stretch>
                </pic:blipFill>
                <pic:spPr>
                  <a:xfrm>
                    <a:off x="0" y="0"/>
                    <a:ext cx="71247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24"/>
      <w:pBdr>
        <w:bottom w:val="single" w:color="auto" w:sz="4" w:space="0"/>
      </w:pBdr>
      <w:tabs>
        <w:tab w:val="right" w:pos="8946"/>
        <w:tab w:val="clear" w:pos="8640"/>
      </w:tabs>
      <w:wordWrap w:val="0"/>
      <w:spacing w:line="240" w:lineRule="auto"/>
      <w:ind w:right="10" w:rightChars="5" w:firstLine="1094" w:firstLineChars="608"/>
      <w:jc w:val="right"/>
      <w:rPr>
        <w:rFonts w:ascii="宋体" w:hAnsi="宋体" w:eastAsia="仿宋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D04545"/>
    <w:multiLevelType w:val="multilevel"/>
    <w:tmpl w:val="DAD045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>
    <w:nsid w:val="71273CB4"/>
    <w:multiLevelType w:val="multilevel"/>
    <w:tmpl w:val="71273CB4"/>
    <w:lvl w:ilvl="0" w:tentative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786"/>
        </w:tabs>
        <w:ind w:left="426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146"/>
        </w:tabs>
        <w:ind w:left="426" w:firstLine="0"/>
      </w:pPr>
      <w:rPr>
        <w:rFonts w:hint="eastAsia" w:eastAsia="宋体"/>
        <w:b w:val="0"/>
        <w:i w:val="0"/>
        <w:sz w:val="21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80"/>
        </w:tabs>
        <w:ind w:left="0" w:firstLine="0"/>
      </w:pPr>
      <w:rPr>
        <w:rFonts w:hint="eastAsia" w:ascii="宋体" w:hAnsi="宋体" w:eastAsia="宋体"/>
        <w:b w:val="0"/>
        <w:i w:val="0"/>
        <w:sz w:val="21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forms" w:enforcement="1" w:cryptProviderType="rsaFull" w:cryptAlgorithmClass="hash" w:cryptAlgorithmType="typeAny" w:cryptAlgorithmSid="4" w:cryptSpinCount="0" w:hash="CrqgR3U+ZbtBjON3QVWRj/7hYMY=" w:salt="mHSLgcfLg/U9WI56tHazgw=="/>
  <w:defaultTabStop w:val="420"/>
  <w:drawingGridHorizontalSpacing w:val="213"/>
  <w:drawingGridVerticalSpacing w:val="14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yZGY3ZTEyYTA4YTdiODY5YjI2ZDk5NzU5YWY3NjEifQ=="/>
  </w:docVars>
  <w:rsids>
    <w:rsidRoot w:val="00565428"/>
    <w:rsid w:val="00000562"/>
    <w:rsid w:val="00001E8E"/>
    <w:rsid w:val="000048B3"/>
    <w:rsid w:val="0002167D"/>
    <w:rsid w:val="00024067"/>
    <w:rsid w:val="00027A48"/>
    <w:rsid w:val="000319C4"/>
    <w:rsid w:val="00033292"/>
    <w:rsid w:val="00035926"/>
    <w:rsid w:val="00041EBC"/>
    <w:rsid w:val="00043AEB"/>
    <w:rsid w:val="00051A70"/>
    <w:rsid w:val="00051E55"/>
    <w:rsid w:val="00053E0E"/>
    <w:rsid w:val="00071A20"/>
    <w:rsid w:val="0007216C"/>
    <w:rsid w:val="000729A3"/>
    <w:rsid w:val="00082D57"/>
    <w:rsid w:val="000A0367"/>
    <w:rsid w:val="000A1C76"/>
    <w:rsid w:val="000A2D01"/>
    <w:rsid w:val="000A3A32"/>
    <w:rsid w:val="000B4723"/>
    <w:rsid w:val="000C22F5"/>
    <w:rsid w:val="000C3AE0"/>
    <w:rsid w:val="000C5D66"/>
    <w:rsid w:val="000D1D93"/>
    <w:rsid w:val="000D41A1"/>
    <w:rsid w:val="000D5840"/>
    <w:rsid w:val="000E1F38"/>
    <w:rsid w:val="000E4428"/>
    <w:rsid w:val="000E583B"/>
    <w:rsid w:val="000E7EA7"/>
    <w:rsid w:val="001033FA"/>
    <w:rsid w:val="00103CAA"/>
    <w:rsid w:val="00106A12"/>
    <w:rsid w:val="001105FF"/>
    <w:rsid w:val="00111695"/>
    <w:rsid w:val="00136E72"/>
    <w:rsid w:val="001470F0"/>
    <w:rsid w:val="00147CEF"/>
    <w:rsid w:val="0015182C"/>
    <w:rsid w:val="00153BAE"/>
    <w:rsid w:val="0015606F"/>
    <w:rsid w:val="00162767"/>
    <w:rsid w:val="00165CB2"/>
    <w:rsid w:val="00171CC7"/>
    <w:rsid w:val="00173D04"/>
    <w:rsid w:val="00173D72"/>
    <w:rsid w:val="00177C91"/>
    <w:rsid w:val="00184F6F"/>
    <w:rsid w:val="00185E12"/>
    <w:rsid w:val="001864C4"/>
    <w:rsid w:val="00187312"/>
    <w:rsid w:val="001909F6"/>
    <w:rsid w:val="00195308"/>
    <w:rsid w:val="00195866"/>
    <w:rsid w:val="00196A3E"/>
    <w:rsid w:val="00197175"/>
    <w:rsid w:val="001A0D29"/>
    <w:rsid w:val="001A2D3D"/>
    <w:rsid w:val="001A62C3"/>
    <w:rsid w:val="001B40D0"/>
    <w:rsid w:val="001B4F5A"/>
    <w:rsid w:val="001C0516"/>
    <w:rsid w:val="001C2FF0"/>
    <w:rsid w:val="001D3212"/>
    <w:rsid w:val="001D5E98"/>
    <w:rsid w:val="001D6B79"/>
    <w:rsid w:val="001E0E46"/>
    <w:rsid w:val="001E43A1"/>
    <w:rsid w:val="001E52D7"/>
    <w:rsid w:val="001E5D5C"/>
    <w:rsid w:val="001F1F87"/>
    <w:rsid w:val="001F247B"/>
    <w:rsid w:val="001F2E8D"/>
    <w:rsid w:val="002024D0"/>
    <w:rsid w:val="0021082B"/>
    <w:rsid w:val="002122F9"/>
    <w:rsid w:val="002128C0"/>
    <w:rsid w:val="002130CC"/>
    <w:rsid w:val="002154A3"/>
    <w:rsid w:val="00224931"/>
    <w:rsid w:val="00235EEF"/>
    <w:rsid w:val="00236435"/>
    <w:rsid w:val="00251ED9"/>
    <w:rsid w:val="00254633"/>
    <w:rsid w:val="002547EF"/>
    <w:rsid w:val="00265393"/>
    <w:rsid w:val="00265D6F"/>
    <w:rsid w:val="002677C4"/>
    <w:rsid w:val="00273919"/>
    <w:rsid w:val="002846B8"/>
    <w:rsid w:val="002911B9"/>
    <w:rsid w:val="00293644"/>
    <w:rsid w:val="00294A37"/>
    <w:rsid w:val="00294EA8"/>
    <w:rsid w:val="002A1BD5"/>
    <w:rsid w:val="002A501A"/>
    <w:rsid w:val="002B35F7"/>
    <w:rsid w:val="002B3DB6"/>
    <w:rsid w:val="002C3E4C"/>
    <w:rsid w:val="002C6F57"/>
    <w:rsid w:val="002D0E33"/>
    <w:rsid w:val="002D32FF"/>
    <w:rsid w:val="002D4AE5"/>
    <w:rsid w:val="002D6337"/>
    <w:rsid w:val="002E12B4"/>
    <w:rsid w:val="002E206D"/>
    <w:rsid w:val="002E4BE5"/>
    <w:rsid w:val="002E6075"/>
    <w:rsid w:val="002E6E80"/>
    <w:rsid w:val="002E7B2A"/>
    <w:rsid w:val="00300F9A"/>
    <w:rsid w:val="003165C5"/>
    <w:rsid w:val="00317D5F"/>
    <w:rsid w:val="00317F11"/>
    <w:rsid w:val="0032176F"/>
    <w:rsid w:val="00330BA1"/>
    <w:rsid w:val="00330D9F"/>
    <w:rsid w:val="003343CF"/>
    <w:rsid w:val="00334C2E"/>
    <w:rsid w:val="00341114"/>
    <w:rsid w:val="00346DAF"/>
    <w:rsid w:val="00351726"/>
    <w:rsid w:val="00353458"/>
    <w:rsid w:val="00355FB7"/>
    <w:rsid w:val="00376452"/>
    <w:rsid w:val="00377AAF"/>
    <w:rsid w:val="00392A39"/>
    <w:rsid w:val="00392C77"/>
    <w:rsid w:val="00394F80"/>
    <w:rsid w:val="00394FC6"/>
    <w:rsid w:val="00396DB4"/>
    <w:rsid w:val="00397733"/>
    <w:rsid w:val="003A0C61"/>
    <w:rsid w:val="003A2958"/>
    <w:rsid w:val="003A40B3"/>
    <w:rsid w:val="003A5B05"/>
    <w:rsid w:val="003A7227"/>
    <w:rsid w:val="003B650A"/>
    <w:rsid w:val="003D1BB4"/>
    <w:rsid w:val="003D3336"/>
    <w:rsid w:val="003E2972"/>
    <w:rsid w:val="003E3C92"/>
    <w:rsid w:val="003E751C"/>
    <w:rsid w:val="003F0D83"/>
    <w:rsid w:val="003F119D"/>
    <w:rsid w:val="003F3B4D"/>
    <w:rsid w:val="003F7C77"/>
    <w:rsid w:val="0041454A"/>
    <w:rsid w:val="00416F85"/>
    <w:rsid w:val="00417064"/>
    <w:rsid w:val="00421AAA"/>
    <w:rsid w:val="004358DB"/>
    <w:rsid w:val="004403D3"/>
    <w:rsid w:val="004432AA"/>
    <w:rsid w:val="004438D1"/>
    <w:rsid w:val="004502E2"/>
    <w:rsid w:val="00473B82"/>
    <w:rsid w:val="00475BE4"/>
    <w:rsid w:val="004818F4"/>
    <w:rsid w:val="00482933"/>
    <w:rsid w:val="0048429F"/>
    <w:rsid w:val="0048538E"/>
    <w:rsid w:val="00486DC8"/>
    <w:rsid w:val="00486FCC"/>
    <w:rsid w:val="00487F32"/>
    <w:rsid w:val="004A2AC1"/>
    <w:rsid w:val="004B6418"/>
    <w:rsid w:val="004B6F37"/>
    <w:rsid w:val="004B7A78"/>
    <w:rsid w:val="004C0CE1"/>
    <w:rsid w:val="004C0DC0"/>
    <w:rsid w:val="004C4833"/>
    <w:rsid w:val="004C605F"/>
    <w:rsid w:val="004C7365"/>
    <w:rsid w:val="004D0481"/>
    <w:rsid w:val="004D1718"/>
    <w:rsid w:val="004D3FFB"/>
    <w:rsid w:val="004D75E8"/>
    <w:rsid w:val="004E0AF0"/>
    <w:rsid w:val="004E2F84"/>
    <w:rsid w:val="004E4456"/>
    <w:rsid w:val="004F1B44"/>
    <w:rsid w:val="004F5327"/>
    <w:rsid w:val="005037F0"/>
    <w:rsid w:val="00505210"/>
    <w:rsid w:val="00506FAB"/>
    <w:rsid w:val="00521C44"/>
    <w:rsid w:val="00523CE8"/>
    <w:rsid w:val="0052498A"/>
    <w:rsid w:val="00524B83"/>
    <w:rsid w:val="005407CE"/>
    <w:rsid w:val="00540AF7"/>
    <w:rsid w:val="00540E3A"/>
    <w:rsid w:val="0054217B"/>
    <w:rsid w:val="00546620"/>
    <w:rsid w:val="00555ADA"/>
    <w:rsid w:val="00565428"/>
    <w:rsid w:val="00567C8A"/>
    <w:rsid w:val="0057569A"/>
    <w:rsid w:val="005924EB"/>
    <w:rsid w:val="005949E3"/>
    <w:rsid w:val="0059659D"/>
    <w:rsid w:val="005A15B5"/>
    <w:rsid w:val="005B06D4"/>
    <w:rsid w:val="005B0F07"/>
    <w:rsid w:val="005B4681"/>
    <w:rsid w:val="005B6DEB"/>
    <w:rsid w:val="005D22F8"/>
    <w:rsid w:val="005D2BE5"/>
    <w:rsid w:val="005D3F19"/>
    <w:rsid w:val="005E5623"/>
    <w:rsid w:val="005F2AC6"/>
    <w:rsid w:val="0060106E"/>
    <w:rsid w:val="00610EDD"/>
    <w:rsid w:val="00611EF6"/>
    <w:rsid w:val="00612109"/>
    <w:rsid w:val="00613677"/>
    <w:rsid w:val="006156AE"/>
    <w:rsid w:val="00621BF4"/>
    <w:rsid w:val="00627FA2"/>
    <w:rsid w:val="0063237C"/>
    <w:rsid w:val="00644C3A"/>
    <w:rsid w:val="00660D03"/>
    <w:rsid w:val="00663CEE"/>
    <w:rsid w:val="00667DA4"/>
    <w:rsid w:val="00675942"/>
    <w:rsid w:val="006875E6"/>
    <w:rsid w:val="00691211"/>
    <w:rsid w:val="00694303"/>
    <w:rsid w:val="00697210"/>
    <w:rsid w:val="006A7BE9"/>
    <w:rsid w:val="006B045C"/>
    <w:rsid w:val="006B3D5B"/>
    <w:rsid w:val="006C1A6B"/>
    <w:rsid w:val="006C2C48"/>
    <w:rsid w:val="006C38BC"/>
    <w:rsid w:val="006D21A3"/>
    <w:rsid w:val="006D34CB"/>
    <w:rsid w:val="006D79E5"/>
    <w:rsid w:val="006E0320"/>
    <w:rsid w:val="006E17F3"/>
    <w:rsid w:val="006E3826"/>
    <w:rsid w:val="006E5641"/>
    <w:rsid w:val="006E5A56"/>
    <w:rsid w:val="006E6B3E"/>
    <w:rsid w:val="006F2EF6"/>
    <w:rsid w:val="00706C0E"/>
    <w:rsid w:val="00707257"/>
    <w:rsid w:val="0071613B"/>
    <w:rsid w:val="00721BE3"/>
    <w:rsid w:val="007233C9"/>
    <w:rsid w:val="00735ACD"/>
    <w:rsid w:val="007403AF"/>
    <w:rsid w:val="007405F7"/>
    <w:rsid w:val="00741010"/>
    <w:rsid w:val="007414B5"/>
    <w:rsid w:val="007436A5"/>
    <w:rsid w:val="00744164"/>
    <w:rsid w:val="00750A1F"/>
    <w:rsid w:val="0075521C"/>
    <w:rsid w:val="007566A0"/>
    <w:rsid w:val="007612BE"/>
    <w:rsid w:val="00762968"/>
    <w:rsid w:val="00767751"/>
    <w:rsid w:val="00771D4E"/>
    <w:rsid w:val="007845E5"/>
    <w:rsid w:val="007A1EC5"/>
    <w:rsid w:val="007A4F18"/>
    <w:rsid w:val="007A57B3"/>
    <w:rsid w:val="007A5E01"/>
    <w:rsid w:val="007B465F"/>
    <w:rsid w:val="007B6C9E"/>
    <w:rsid w:val="007C3341"/>
    <w:rsid w:val="007C3B7A"/>
    <w:rsid w:val="007C52B2"/>
    <w:rsid w:val="007E7AD5"/>
    <w:rsid w:val="007F0162"/>
    <w:rsid w:val="007F01AF"/>
    <w:rsid w:val="007F1296"/>
    <w:rsid w:val="008002CE"/>
    <w:rsid w:val="008055F7"/>
    <w:rsid w:val="00811270"/>
    <w:rsid w:val="00811C01"/>
    <w:rsid w:val="00812381"/>
    <w:rsid w:val="00812D38"/>
    <w:rsid w:val="0081409D"/>
    <w:rsid w:val="008179B8"/>
    <w:rsid w:val="00823775"/>
    <w:rsid w:val="00833C15"/>
    <w:rsid w:val="00835E30"/>
    <w:rsid w:val="008367CD"/>
    <w:rsid w:val="0084044B"/>
    <w:rsid w:val="00840758"/>
    <w:rsid w:val="00843198"/>
    <w:rsid w:val="00853883"/>
    <w:rsid w:val="0085459E"/>
    <w:rsid w:val="00855765"/>
    <w:rsid w:val="00872699"/>
    <w:rsid w:val="0088029D"/>
    <w:rsid w:val="00884FA7"/>
    <w:rsid w:val="0088707D"/>
    <w:rsid w:val="00891A5A"/>
    <w:rsid w:val="00895477"/>
    <w:rsid w:val="008A0389"/>
    <w:rsid w:val="008A37A5"/>
    <w:rsid w:val="008A6727"/>
    <w:rsid w:val="008B5B4D"/>
    <w:rsid w:val="008C047B"/>
    <w:rsid w:val="008C7C4A"/>
    <w:rsid w:val="008D0DC3"/>
    <w:rsid w:val="008D4046"/>
    <w:rsid w:val="008D743E"/>
    <w:rsid w:val="008E106B"/>
    <w:rsid w:val="008E5CA1"/>
    <w:rsid w:val="008F0895"/>
    <w:rsid w:val="008F10D8"/>
    <w:rsid w:val="008F438F"/>
    <w:rsid w:val="008F7306"/>
    <w:rsid w:val="009006D9"/>
    <w:rsid w:val="00903226"/>
    <w:rsid w:val="00905AC5"/>
    <w:rsid w:val="00911B93"/>
    <w:rsid w:val="00920012"/>
    <w:rsid w:val="009223E1"/>
    <w:rsid w:val="00930F50"/>
    <w:rsid w:val="00934E90"/>
    <w:rsid w:val="009363D0"/>
    <w:rsid w:val="00936BB6"/>
    <w:rsid w:val="00944DC6"/>
    <w:rsid w:val="0094653C"/>
    <w:rsid w:val="00957DE4"/>
    <w:rsid w:val="009629F6"/>
    <w:rsid w:val="00962C58"/>
    <w:rsid w:val="00963FB4"/>
    <w:rsid w:val="00965930"/>
    <w:rsid w:val="00966357"/>
    <w:rsid w:val="0097032C"/>
    <w:rsid w:val="00973AE5"/>
    <w:rsid w:val="0097449A"/>
    <w:rsid w:val="00976E74"/>
    <w:rsid w:val="00983100"/>
    <w:rsid w:val="00990A51"/>
    <w:rsid w:val="009914F4"/>
    <w:rsid w:val="00996C09"/>
    <w:rsid w:val="00997887"/>
    <w:rsid w:val="009B4DFA"/>
    <w:rsid w:val="009B693B"/>
    <w:rsid w:val="009C4547"/>
    <w:rsid w:val="009C4936"/>
    <w:rsid w:val="009C4B9E"/>
    <w:rsid w:val="009D504C"/>
    <w:rsid w:val="009D54A5"/>
    <w:rsid w:val="009D7C38"/>
    <w:rsid w:val="009E3249"/>
    <w:rsid w:val="009E4A63"/>
    <w:rsid w:val="009E7576"/>
    <w:rsid w:val="009E7AC9"/>
    <w:rsid w:val="009F100E"/>
    <w:rsid w:val="009F33D0"/>
    <w:rsid w:val="009F3751"/>
    <w:rsid w:val="009F3B56"/>
    <w:rsid w:val="00A04019"/>
    <w:rsid w:val="00A0492D"/>
    <w:rsid w:val="00A14E3A"/>
    <w:rsid w:val="00A21EBA"/>
    <w:rsid w:val="00A22AB1"/>
    <w:rsid w:val="00A2642B"/>
    <w:rsid w:val="00A2646C"/>
    <w:rsid w:val="00A40409"/>
    <w:rsid w:val="00A407A0"/>
    <w:rsid w:val="00A40B84"/>
    <w:rsid w:val="00A443FF"/>
    <w:rsid w:val="00A52F61"/>
    <w:rsid w:val="00A53A5A"/>
    <w:rsid w:val="00A57F86"/>
    <w:rsid w:val="00A60C3D"/>
    <w:rsid w:val="00A620D0"/>
    <w:rsid w:val="00A643DF"/>
    <w:rsid w:val="00A64A3A"/>
    <w:rsid w:val="00A66CD2"/>
    <w:rsid w:val="00A73790"/>
    <w:rsid w:val="00A777DC"/>
    <w:rsid w:val="00A90AA9"/>
    <w:rsid w:val="00AA120F"/>
    <w:rsid w:val="00AA4674"/>
    <w:rsid w:val="00AB0F48"/>
    <w:rsid w:val="00AC0D1F"/>
    <w:rsid w:val="00AC2096"/>
    <w:rsid w:val="00AC225F"/>
    <w:rsid w:val="00AC437E"/>
    <w:rsid w:val="00AC6B52"/>
    <w:rsid w:val="00AD1A81"/>
    <w:rsid w:val="00AD3427"/>
    <w:rsid w:val="00AD3E2C"/>
    <w:rsid w:val="00AD5711"/>
    <w:rsid w:val="00AD72A8"/>
    <w:rsid w:val="00AE6EBE"/>
    <w:rsid w:val="00AE7A8D"/>
    <w:rsid w:val="00AF27C4"/>
    <w:rsid w:val="00AF6015"/>
    <w:rsid w:val="00B02014"/>
    <w:rsid w:val="00B07959"/>
    <w:rsid w:val="00B10082"/>
    <w:rsid w:val="00B10F21"/>
    <w:rsid w:val="00B21409"/>
    <w:rsid w:val="00B23EB0"/>
    <w:rsid w:val="00B42BF9"/>
    <w:rsid w:val="00B51502"/>
    <w:rsid w:val="00B518C4"/>
    <w:rsid w:val="00B558EA"/>
    <w:rsid w:val="00B56F9E"/>
    <w:rsid w:val="00B6524D"/>
    <w:rsid w:val="00B65ED2"/>
    <w:rsid w:val="00B71732"/>
    <w:rsid w:val="00B746DE"/>
    <w:rsid w:val="00B75130"/>
    <w:rsid w:val="00B7594E"/>
    <w:rsid w:val="00B7796B"/>
    <w:rsid w:val="00B77DE5"/>
    <w:rsid w:val="00B81F98"/>
    <w:rsid w:val="00B84705"/>
    <w:rsid w:val="00B84F45"/>
    <w:rsid w:val="00B85592"/>
    <w:rsid w:val="00B9193B"/>
    <w:rsid w:val="00B93C6E"/>
    <w:rsid w:val="00B93E95"/>
    <w:rsid w:val="00BA062C"/>
    <w:rsid w:val="00BA47C6"/>
    <w:rsid w:val="00BA56DC"/>
    <w:rsid w:val="00BA6CBB"/>
    <w:rsid w:val="00BB20ED"/>
    <w:rsid w:val="00BB2B2B"/>
    <w:rsid w:val="00BB65EC"/>
    <w:rsid w:val="00BC1153"/>
    <w:rsid w:val="00BD1A22"/>
    <w:rsid w:val="00BE1342"/>
    <w:rsid w:val="00BF4380"/>
    <w:rsid w:val="00C01E28"/>
    <w:rsid w:val="00C10B20"/>
    <w:rsid w:val="00C12029"/>
    <w:rsid w:val="00C13327"/>
    <w:rsid w:val="00C1496E"/>
    <w:rsid w:val="00C15800"/>
    <w:rsid w:val="00C15A7B"/>
    <w:rsid w:val="00C168C4"/>
    <w:rsid w:val="00C1762F"/>
    <w:rsid w:val="00C2464B"/>
    <w:rsid w:val="00C30CC4"/>
    <w:rsid w:val="00C31677"/>
    <w:rsid w:val="00C32451"/>
    <w:rsid w:val="00C341E2"/>
    <w:rsid w:val="00C36769"/>
    <w:rsid w:val="00C375FD"/>
    <w:rsid w:val="00C41A3F"/>
    <w:rsid w:val="00C449DA"/>
    <w:rsid w:val="00C5036C"/>
    <w:rsid w:val="00C528E7"/>
    <w:rsid w:val="00C52D7A"/>
    <w:rsid w:val="00C55E11"/>
    <w:rsid w:val="00C568E7"/>
    <w:rsid w:val="00C57E67"/>
    <w:rsid w:val="00C602F8"/>
    <w:rsid w:val="00C624C4"/>
    <w:rsid w:val="00C62707"/>
    <w:rsid w:val="00C62EDA"/>
    <w:rsid w:val="00C638ED"/>
    <w:rsid w:val="00C77E48"/>
    <w:rsid w:val="00C90C20"/>
    <w:rsid w:val="00C93C51"/>
    <w:rsid w:val="00C964E9"/>
    <w:rsid w:val="00CA2AA9"/>
    <w:rsid w:val="00CA2C1A"/>
    <w:rsid w:val="00CA3776"/>
    <w:rsid w:val="00CA474F"/>
    <w:rsid w:val="00CC7761"/>
    <w:rsid w:val="00CD23E4"/>
    <w:rsid w:val="00CD317C"/>
    <w:rsid w:val="00CD3471"/>
    <w:rsid w:val="00CD37D2"/>
    <w:rsid w:val="00CD6CBF"/>
    <w:rsid w:val="00CE0F82"/>
    <w:rsid w:val="00CE115A"/>
    <w:rsid w:val="00CE3FFB"/>
    <w:rsid w:val="00CE5BA0"/>
    <w:rsid w:val="00CF12AB"/>
    <w:rsid w:val="00CF4D1F"/>
    <w:rsid w:val="00CF50BD"/>
    <w:rsid w:val="00D00D0A"/>
    <w:rsid w:val="00D01989"/>
    <w:rsid w:val="00D021F3"/>
    <w:rsid w:val="00D07643"/>
    <w:rsid w:val="00D10837"/>
    <w:rsid w:val="00D13773"/>
    <w:rsid w:val="00D17B7D"/>
    <w:rsid w:val="00D275D2"/>
    <w:rsid w:val="00D3246E"/>
    <w:rsid w:val="00D373CB"/>
    <w:rsid w:val="00D41261"/>
    <w:rsid w:val="00D4756A"/>
    <w:rsid w:val="00D5017A"/>
    <w:rsid w:val="00D572BE"/>
    <w:rsid w:val="00D63C7E"/>
    <w:rsid w:val="00D66A70"/>
    <w:rsid w:val="00D7372E"/>
    <w:rsid w:val="00D76D13"/>
    <w:rsid w:val="00D8302D"/>
    <w:rsid w:val="00D868D2"/>
    <w:rsid w:val="00D90B1E"/>
    <w:rsid w:val="00D95358"/>
    <w:rsid w:val="00DA196B"/>
    <w:rsid w:val="00DA1CF8"/>
    <w:rsid w:val="00DA2A70"/>
    <w:rsid w:val="00DA7573"/>
    <w:rsid w:val="00DA7E55"/>
    <w:rsid w:val="00DB04EE"/>
    <w:rsid w:val="00DB7531"/>
    <w:rsid w:val="00DB791F"/>
    <w:rsid w:val="00DC2A2E"/>
    <w:rsid w:val="00DC3CF8"/>
    <w:rsid w:val="00DD036F"/>
    <w:rsid w:val="00DD2004"/>
    <w:rsid w:val="00DD78C5"/>
    <w:rsid w:val="00DD7C1A"/>
    <w:rsid w:val="00DE4DA7"/>
    <w:rsid w:val="00DE6549"/>
    <w:rsid w:val="00DE7997"/>
    <w:rsid w:val="00DF0E40"/>
    <w:rsid w:val="00DF2B35"/>
    <w:rsid w:val="00DF4F39"/>
    <w:rsid w:val="00E025CA"/>
    <w:rsid w:val="00E11785"/>
    <w:rsid w:val="00E11D9A"/>
    <w:rsid w:val="00E15CE8"/>
    <w:rsid w:val="00E20BBD"/>
    <w:rsid w:val="00E31500"/>
    <w:rsid w:val="00E3404A"/>
    <w:rsid w:val="00E34AFC"/>
    <w:rsid w:val="00E47904"/>
    <w:rsid w:val="00E5303C"/>
    <w:rsid w:val="00E53AAE"/>
    <w:rsid w:val="00E6099C"/>
    <w:rsid w:val="00E73FDF"/>
    <w:rsid w:val="00E756FF"/>
    <w:rsid w:val="00E75F44"/>
    <w:rsid w:val="00E922D8"/>
    <w:rsid w:val="00E94199"/>
    <w:rsid w:val="00E943C8"/>
    <w:rsid w:val="00E94900"/>
    <w:rsid w:val="00E94CE9"/>
    <w:rsid w:val="00EA1396"/>
    <w:rsid w:val="00EB4791"/>
    <w:rsid w:val="00EB72FE"/>
    <w:rsid w:val="00EC0684"/>
    <w:rsid w:val="00EC1902"/>
    <w:rsid w:val="00EC34AC"/>
    <w:rsid w:val="00ED0B86"/>
    <w:rsid w:val="00ED14D4"/>
    <w:rsid w:val="00EE02BB"/>
    <w:rsid w:val="00EE1171"/>
    <w:rsid w:val="00EE1CF9"/>
    <w:rsid w:val="00EE43FE"/>
    <w:rsid w:val="00EF160A"/>
    <w:rsid w:val="00EF29A2"/>
    <w:rsid w:val="00EF7C3F"/>
    <w:rsid w:val="00F03F6D"/>
    <w:rsid w:val="00F0401B"/>
    <w:rsid w:val="00F052BC"/>
    <w:rsid w:val="00F133CB"/>
    <w:rsid w:val="00F13BAD"/>
    <w:rsid w:val="00F14CCB"/>
    <w:rsid w:val="00F17F7A"/>
    <w:rsid w:val="00F23F41"/>
    <w:rsid w:val="00F309E0"/>
    <w:rsid w:val="00F357F5"/>
    <w:rsid w:val="00F365CF"/>
    <w:rsid w:val="00F41263"/>
    <w:rsid w:val="00F41742"/>
    <w:rsid w:val="00F5296A"/>
    <w:rsid w:val="00F54474"/>
    <w:rsid w:val="00F5747E"/>
    <w:rsid w:val="00F61671"/>
    <w:rsid w:val="00F64056"/>
    <w:rsid w:val="00F7575A"/>
    <w:rsid w:val="00F805EA"/>
    <w:rsid w:val="00F8307E"/>
    <w:rsid w:val="00F83E48"/>
    <w:rsid w:val="00F83F32"/>
    <w:rsid w:val="00F85A98"/>
    <w:rsid w:val="00FA000C"/>
    <w:rsid w:val="00FB1F68"/>
    <w:rsid w:val="00FB471C"/>
    <w:rsid w:val="00FD1DDB"/>
    <w:rsid w:val="00FD4E16"/>
    <w:rsid w:val="00FE6F32"/>
    <w:rsid w:val="00FF2B85"/>
    <w:rsid w:val="00FF2D28"/>
    <w:rsid w:val="00FF342B"/>
    <w:rsid w:val="00FF5476"/>
    <w:rsid w:val="01267EB4"/>
    <w:rsid w:val="01BF4F54"/>
    <w:rsid w:val="02291E87"/>
    <w:rsid w:val="02452463"/>
    <w:rsid w:val="03453D84"/>
    <w:rsid w:val="036D4F3C"/>
    <w:rsid w:val="03CD74F8"/>
    <w:rsid w:val="07AA5AFE"/>
    <w:rsid w:val="07B965A1"/>
    <w:rsid w:val="07DD5A7C"/>
    <w:rsid w:val="07F14519"/>
    <w:rsid w:val="07F357DA"/>
    <w:rsid w:val="08967F8C"/>
    <w:rsid w:val="08DC3FB3"/>
    <w:rsid w:val="0B5A4B6C"/>
    <w:rsid w:val="0B5B017C"/>
    <w:rsid w:val="0C333AD1"/>
    <w:rsid w:val="0D2D48BF"/>
    <w:rsid w:val="0D952944"/>
    <w:rsid w:val="0E335E00"/>
    <w:rsid w:val="0E61172D"/>
    <w:rsid w:val="0ECB1D32"/>
    <w:rsid w:val="0ED41C4D"/>
    <w:rsid w:val="0F3262EC"/>
    <w:rsid w:val="0FA82D7C"/>
    <w:rsid w:val="106D0FDE"/>
    <w:rsid w:val="114F1CD5"/>
    <w:rsid w:val="1150797B"/>
    <w:rsid w:val="11B67BB7"/>
    <w:rsid w:val="12126580"/>
    <w:rsid w:val="12517145"/>
    <w:rsid w:val="1263610F"/>
    <w:rsid w:val="13A76031"/>
    <w:rsid w:val="13B521EE"/>
    <w:rsid w:val="13FD3DCF"/>
    <w:rsid w:val="15843434"/>
    <w:rsid w:val="15AC4965"/>
    <w:rsid w:val="15EA2183"/>
    <w:rsid w:val="171929FF"/>
    <w:rsid w:val="1891280A"/>
    <w:rsid w:val="18FF4051"/>
    <w:rsid w:val="190E4C0D"/>
    <w:rsid w:val="194B38F5"/>
    <w:rsid w:val="19FF7623"/>
    <w:rsid w:val="1A194069"/>
    <w:rsid w:val="1B6F79A2"/>
    <w:rsid w:val="1C3E7BAC"/>
    <w:rsid w:val="1CA27256"/>
    <w:rsid w:val="1CB05C8F"/>
    <w:rsid w:val="1CB64B30"/>
    <w:rsid w:val="1D227840"/>
    <w:rsid w:val="1D551674"/>
    <w:rsid w:val="1DD53CDE"/>
    <w:rsid w:val="1E58525C"/>
    <w:rsid w:val="1F11471C"/>
    <w:rsid w:val="1F432947"/>
    <w:rsid w:val="20545067"/>
    <w:rsid w:val="20E95A12"/>
    <w:rsid w:val="20E9727E"/>
    <w:rsid w:val="224F7664"/>
    <w:rsid w:val="22B96C7C"/>
    <w:rsid w:val="23483CBB"/>
    <w:rsid w:val="245D5F94"/>
    <w:rsid w:val="25CE09CC"/>
    <w:rsid w:val="270407B9"/>
    <w:rsid w:val="27CB44C6"/>
    <w:rsid w:val="28C7463C"/>
    <w:rsid w:val="29A436BF"/>
    <w:rsid w:val="2A082EB2"/>
    <w:rsid w:val="2A413CA5"/>
    <w:rsid w:val="2A6558CD"/>
    <w:rsid w:val="2B325CC2"/>
    <w:rsid w:val="2B763390"/>
    <w:rsid w:val="2C122E31"/>
    <w:rsid w:val="2C6D59E3"/>
    <w:rsid w:val="2D6C5EB5"/>
    <w:rsid w:val="2E773A47"/>
    <w:rsid w:val="2FEF56F6"/>
    <w:rsid w:val="30782700"/>
    <w:rsid w:val="31F12637"/>
    <w:rsid w:val="32916F5C"/>
    <w:rsid w:val="330B5C22"/>
    <w:rsid w:val="337E52FA"/>
    <w:rsid w:val="33972AF2"/>
    <w:rsid w:val="34443ED5"/>
    <w:rsid w:val="34870AA4"/>
    <w:rsid w:val="34900FB5"/>
    <w:rsid w:val="34E338F0"/>
    <w:rsid w:val="356D4895"/>
    <w:rsid w:val="35A7466E"/>
    <w:rsid w:val="35C61D42"/>
    <w:rsid w:val="3612580E"/>
    <w:rsid w:val="361946D4"/>
    <w:rsid w:val="36581311"/>
    <w:rsid w:val="37233714"/>
    <w:rsid w:val="37501244"/>
    <w:rsid w:val="37D64D5C"/>
    <w:rsid w:val="38430209"/>
    <w:rsid w:val="39075194"/>
    <w:rsid w:val="396357A4"/>
    <w:rsid w:val="39F95296"/>
    <w:rsid w:val="3A2510AE"/>
    <w:rsid w:val="3A3C5D0C"/>
    <w:rsid w:val="3A7E460D"/>
    <w:rsid w:val="3ACF0BA8"/>
    <w:rsid w:val="3ADC427C"/>
    <w:rsid w:val="3B495545"/>
    <w:rsid w:val="3CB4253F"/>
    <w:rsid w:val="3D3C5AAD"/>
    <w:rsid w:val="3E4977D4"/>
    <w:rsid w:val="3E8E1D96"/>
    <w:rsid w:val="3EA23F84"/>
    <w:rsid w:val="3F7E354F"/>
    <w:rsid w:val="3F88172D"/>
    <w:rsid w:val="401B2326"/>
    <w:rsid w:val="40301770"/>
    <w:rsid w:val="413739B0"/>
    <w:rsid w:val="41647527"/>
    <w:rsid w:val="41741308"/>
    <w:rsid w:val="42592E6E"/>
    <w:rsid w:val="426B2BA1"/>
    <w:rsid w:val="434F5829"/>
    <w:rsid w:val="43625BA6"/>
    <w:rsid w:val="43BB4A3C"/>
    <w:rsid w:val="43D736F5"/>
    <w:rsid w:val="44652B2C"/>
    <w:rsid w:val="45B247C7"/>
    <w:rsid w:val="45CC64C7"/>
    <w:rsid w:val="461525FF"/>
    <w:rsid w:val="46450DA9"/>
    <w:rsid w:val="476076BF"/>
    <w:rsid w:val="47D23DE1"/>
    <w:rsid w:val="47DA5A7D"/>
    <w:rsid w:val="4810649A"/>
    <w:rsid w:val="489C4E31"/>
    <w:rsid w:val="4AD472B7"/>
    <w:rsid w:val="4B0849A6"/>
    <w:rsid w:val="4C4C64EE"/>
    <w:rsid w:val="4CB26CB7"/>
    <w:rsid w:val="4D4C480A"/>
    <w:rsid w:val="4D9110C7"/>
    <w:rsid w:val="4E076FD7"/>
    <w:rsid w:val="4E967B9D"/>
    <w:rsid w:val="4ED60155"/>
    <w:rsid w:val="4F8627EB"/>
    <w:rsid w:val="4F92034C"/>
    <w:rsid w:val="4FD909C1"/>
    <w:rsid w:val="5099155C"/>
    <w:rsid w:val="509D5BDC"/>
    <w:rsid w:val="51284923"/>
    <w:rsid w:val="51316082"/>
    <w:rsid w:val="51F12E51"/>
    <w:rsid w:val="52463507"/>
    <w:rsid w:val="52ED6391"/>
    <w:rsid w:val="534E5839"/>
    <w:rsid w:val="53A1412B"/>
    <w:rsid w:val="557676BA"/>
    <w:rsid w:val="55C94178"/>
    <w:rsid w:val="55ED413C"/>
    <w:rsid w:val="561E2A43"/>
    <w:rsid w:val="56454980"/>
    <w:rsid w:val="56F13B0E"/>
    <w:rsid w:val="57122342"/>
    <w:rsid w:val="571B75FD"/>
    <w:rsid w:val="57CF481E"/>
    <w:rsid w:val="57DF0AFE"/>
    <w:rsid w:val="587F717F"/>
    <w:rsid w:val="5A2C576A"/>
    <w:rsid w:val="5AC40625"/>
    <w:rsid w:val="5ADA2832"/>
    <w:rsid w:val="5B1423BE"/>
    <w:rsid w:val="5BC65091"/>
    <w:rsid w:val="5CBA0FF0"/>
    <w:rsid w:val="5CCE07C6"/>
    <w:rsid w:val="5E191728"/>
    <w:rsid w:val="5E333012"/>
    <w:rsid w:val="5ECA0028"/>
    <w:rsid w:val="5F4E6D49"/>
    <w:rsid w:val="5F6A3756"/>
    <w:rsid w:val="61335ACB"/>
    <w:rsid w:val="61C23D85"/>
    <w:rsid w:val="61F43363"/>
    <w:rsid w:val="623F28E2"/>
    <w:rsid w:val="626B48FD"/>
    <w:rsid w:val="6337115A"/>
    <w:rsid w:val="63532315"/>
    <w:rsid w:val="636835E9"/>
    <w:rsid w:val="639371F8"/>
    <w:rsid w:val="63B47FF0"/>
    <w:rsid w:val="63D235E6"/>
    <w:rsid w:val="64C55DF4"/>
    <w:rsid w:val="65103F1D"/>
    <w:rsid w:val="6588393D"/>
    <w:rsid w:val="66EC51E2"/>
    <w:rsid w:val="672E7BC3"/>
    <w:rsid w:val="67691EF5"/>
    <w:rsid w:val="67D268CD"/>
    <w:rsid w:val="67F7225F"/>
    <w:rsid w:val="69EE38CD"/>
    <w:rsid w:val="69F26EB1"/>
    <w:rsid w:val="6A1660F9"/>
    <w:rsid w:val="6A530BDC"/>
    <w:rsid w:val="6ACA5DE5"/>
    <w:rsid w:val="6AE36FF0"/>
    <w:rsid w:val="6CA1457C"/>
    <w:rsid w:val="6CA828A8"/>
    <w:rsid w:val="6DB73A80"/>
    <w:rsid w:val="6DC92AB1"/>
    <w:rsid w:val="6FC3173F"/>
    <w:rsid w:val="70A204D5"/>
    <w:rsid w:val="71025CBF"/>
    <w:rsid w:val="74F875B0"/>
    <w:rsid w:val="75A63ACB"/>
    <w:rsid w:val="762C0BAB"/>
    <w:rsid w:val="76F16184"/>
    <w:rsid w:val="7710401D"/>
    <w:rsid w:val="7758744C"/>
    <w:rsid w:val="791B6C48"/>
    <w:rsid w:val="79CA0F51"/>
    <w:rsid w:val="79CC6BC2"/>
    <w:rsid w:val="7A28060E"/>
    <w:rsid w:val="7ABE03F8"/>
    <w:rsid w:val="7BD6793B"/>
    <w:rsid w:val="7BF04175"/>
    <w:rsid w:val="7C6E6A95"/>
    <w:rsid w:val="7D81796F"/>
    <w:rsid w:val="7DD04C57"/>
    <w:rsid w:val="7ECE1C0E"/>
    <w:rsid w:val="7F7A4FF6"/>
    <w:rsid w:val="7FF613AB"/>
    <w:rsid w:val="7FF9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Theme="minorHAnsi" w:hAnsiTheme="minorHAnsi" w:eastAsiaTheme="minorEastAsia" w:cstheme="minorBidi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120" w:after="60"/>
      <w:outlineLvl w:val="0"/>
    </w:pPr>
    <w:rPr>
      <w:rFonts w:ascii="Arial" w:hAnsi="Arial"/>
      <w:b/>
    </w:rPr>
  </w:style>
  <w:style w:type="paragraph" w:styleId="3">
    <w:name w:val="heading 2"/>
    <w:basedOn w:val="1"/>
    <w:next w:val="1"/>
    <w:qFormat/>
    <w:uiPriority w:val="0"/>
    <w:pPr>
      <w:numPr>
        <w:ilvl w:val="1"/>
        <w:numId w:val="1"/>
      </w:numPr>
      <w:ind w:left="425"/>
      <w:outlineLvl w:val="1"/>
    </w:pPr>
    <w:rPr>
      <w:rFonts w:eastAsia="宋体"/>
      <w:bCs/>
      <w:sz w:val="24"/>
    </w:rPr>
  </w:style>
  <w:style w:type="paragraph" w:styleId="4">
    <w:name w:val="heading 3"/>
    <w:basedOn w:val="1"/>
    <w:next w:val="1"/>
    <w:qFormat/>
    <w:uiPriority w:val="0"/>
    <w:pPr>
      <w:tabs>
        <w:tab w:val="left" w:pos="786"/>
      </w:tabs>
      <w:jc w:val="both"/>
      <w:outlineLvl w:val="2"/>
    </w:pPr>
    <w:rPr>
      <w:rFonts w:ascii="Times New Roman" w:hAnsi="Times New Roman" w:eastAsia="仿宋_GB2312"/>
      <w:b/>
      <w:sz w:val="24"/>
      <w:szCs w:val="24"/>
    </w:rPr>
  </w:style>
  <w:style w:type="paragraph" w:styleId="5">
    <w:name w:val="heading 4"/>
    <w:basedOn w:val="2"/>
    <w:next w:val="1"/>
    <w:qFormat/>
    <w:uiPriority w:val="0"/>
    <w:pPr>
      <w:numPr>
        <w:ilvl w:val="3"/>
      </w:numPr>
      <w:outlineLvl w:val="3"/>
    </w:pPr>
    <w:rPr>
      <w:b w:val="0"/>
      <w:sz w:val="20"/>
    </w:rPr>
  </w:style>
  <w:style w:type="paragraph" w:styleId="6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7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8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</w:style>
  <w:style w:type="paragraph" w:styleId="9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200"/>
    </w:pPr>
    <w:rPr>
      <w:sz w:val="18"/>
    </w:rPr>
  </w:style>
  <w:style w:type="paragraph" w:styleId="12">
    <w:name w:val="Normal Indent"/>
    <w:basedOn w:val="1"/>
    <w:qFormat/>
    <w:uiPriority w:val="0"/>
    <w:pPr>
      <w:ind w:left="900" w:hanging="900"/>
    </w:pPr>
  </w:style>
  <w:style w:type="paragraph" w:styleId="13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14">
    <w:name w:val="annotation text"/>
    <w:basedOn w:val="1"/>
    <w:link w:val="65"/>
    <w:qFormat/>
    <w:uiPriority w:val="0"/>
  </w:style>
  <w:style w:type="paragraph" w:styleId="15">
    <w:name w:val="Body Text"/>
    <w:basedOn w:val="1"/>
    <w:qFormat/>
    <w:uiPriority w:val="0"/>
    <w:pPr>
      <w:keepLines/>
      <w:spacing w:after="120"/>
      <w:ind w:left="720"/>
    </w:pPr>
  </w:style>
  <w:style w:type="paragraph" w:styleId="16">
    <w:name w:val="Body Text Indent"/>
    <w:basedOn w:val="1"/>
    <w:qFormat/>
    <w:uiPriority w:val="0"/>
    <w:pPr>
      <w:ind w:left="720"/>
    </w:pPr>
    <w:rPr>
      <w:i/>
      <w:color w:val="0000FF"/>
      <w:u w:val="single"/>
    </w:rPr>
  </w:style>
  <w:style w:type="paragraph" w:styleId="17">
    <w:name w:val="toc 5"/>
    <w:basedOn w:val="1"/>
    <w:next w:val="1"/>
    <w:semiHidden/>
    <w:qFormat/>
    <w:uiPriority w:val="0"/>
    <w:pPr>
      <w:ind w:left="800"/>
    </w:pPr>
    <w:rPr>
      <w:sz w:val="18"/>
    </w:rPr>
  </w:style>
  <w:style w:type="paragraph" w:styleId="18">
    <w:name w:val="toc 3"/>
    <w:basedOn w:val="1"/>
    <w:next w:val="1"/>
    <w:semiHidden/>
    <w:qFormat/>
    <w:uiPriority w:val="0"/>
    <w:pPr>
      <w:ind w:left="400"/>
    </w:pPr>
    <w:rPr>
      <w:i/>
    </w:rPr>
  </w:style>
  <w:style w:type="paragraph" w:styleId="19">
    <w:name w:val="toc 8"/>
    <w:basedOn w:val="1"/>
    <w:next w:val="1"/>
    <w:semiHidden/>
    <w:qFormat/>
    <w:uiPriority w:val="0"/>
    <w:pPr>
      <w:ind w:left="1400"/>
    </w:pPr>
    <w:rPr>
      <w:sz w:val="18"/>
    </w:rPr>
  </w:style>
  <w:style w:type="paragraph" w:styleId="20">
    <w:name w:val="Date"/>
    <w:basedOn w:val="1"/>
    <w:next w:val="1"/>
    <w:qFormat/>
    <w:uiPriority w:val="0"/>
    <w:pPr>
      <w:spacing w:line="240" w:lineRule="auto"/>
      <w:ind w:left="100" w:leftChars="2500"/>
      <w:jc w:val="both"/>
    </w:pPr>
    <w:rPr>
      <w:kern w:val="2"/>
      <w:szCs w:val="24"/>
    </w:rPr>
  </w:style>
  <w:style w:type="paragraph" w:styleId="21">
    <w:name w:val="Body Text Indent 2"/>
    <w:basedOn w:val="1"/>
    <w:qFormat/>
    <w:uiPriority w:val="0"/>
    <w:pPr>
      <w:ind w:left="392" w:hanging="392"/>
    </w:pPr>
    <w:rPr>
      <w:rFonts w:ascii="宋体"/>
    </w:rPr>
  </w:style>
  <w:style w:type="paragraph" w:styleId="22">
    <w:name w:val="Balloon Text"/>
    <w:basedOn w:val="1"/>
    <w:semiHidden/>
    <w:qFormat/>
    <w:uiPriority w:val="0"/>
    <w:rPr>
      <w:sz w:val="18"/>
      <w:szCs w:val="18"/>
    </w:rPr>
  </w:style>
  <w:style w:type="paragraph" w:styleId="23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24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paragraph" w:styleId="25">
    <w:name w:val="toc 1"/>
    <w:basedOn w:val="1"/>
    <w:next w:val="1"/>
    <w:semiHidden/>
    <w:qFormat/>
    <w:uiPriority w:val="0"/>
    <w:pPr>
      <w:spacing w:before="120" w:after="120"/>
    </w:pPr>
    <w:rPr>
      <w:b/>
      <w:caps/>
    </w:rPr>
  </w:style>
  <w:style w:type="paragraph" w:styleId="26">
    <w:name w:val="toc 4"/>
    <w:basedOn w:val="1"/>
    <w:next w:val="1"/>
    <w:semiHidden/>
    <w:qFormat/>
    <w:uiPriority w:val="0"/>
    <w:pPr>
      <w:ind w:left="600"/>
    </w:pPr>
    <w:rPr>
      <w:sz w:val="18"/>
    </w:rPr>
  </w:style>
  <w:style w:type="paragraph" w:styleId="27">
    <w:name w:val="Subtitle"/>
    <w:basedOn w:val="1"/>
    <w:qFormat/>
    <w:uiPriority w:val="0"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28">
    <w:name w:val="footnote text"/>
    <w:basedOn w:val="1"/>
    <w:semiHidden/>
    <w:qFormat/>
    <w:uiPriority w:val="0"/>
    <w:pPr>
      <w:keepNext/>
      <w:keepLines/>
      <w:pBdr>
        <w:bottom w:val="single" w:color="000000" w:sz="6" w:space="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29">
    <w:name w:val="toc 6"/>
    <w:basedOn w:val="1"/>
    <w:next w:val="1"/>
    <w:semiHidden/>
    <w:qFormat/>
    <w:uiPriority w:val="0"/>
    <w:pPr>
      <w:ind w:left="1000"/>
    </w:pPr>
    <w:rPr>
      <w:sz w:val="18"/>
    </w:rPr>
  </w:style>
  <w:style w:type="paragraph" w:styleId="30">
    <w:name w:val="Body Text Indent 3"/>
    <w:basedOn w:val="1"/>
    <w:qFormat/>
    <w:uiPriority w:val="0"/>
    <w:pPr>
      <w:ind w:left="360"/>
    </w:pPr>
    <w:rPr>
      <w:rFonts w:ascii="宋体"/>
      <w:sz w:val="22"/>
    </w:rPr>
  </w:style>
  <w:style w:type="paragraph" w:styleId="31">
    <w:name w:val="toc 2"/>
    <w:basedOn w:val="1"/>
    <w:next w:val="1"/>
    <w:semiHidden/>
    <w:qFormat/>
    <w:uiPriority w:val="0"/>
    <w:pPr>
      <w:ind w:left="200"/>
    </w:pPr>
    <w:rPr>
      <w:smallCaps/>
    </w:rPr>
  </w:style>
  <w:style w:type="paragraph" w:styleId="32">
    <w:name w:val="toc 9"/>
    <w:basedOn w:val="1"/>
    <w:next w:val="1"/>
    <w:semiHidden/>
    <w:qFormat/>
    <w:uiPriority w:val="0"/>
    <w:pPr>
      <w:ind w:left="1600"/>
    </w:pPr>
    <w:rPr>
      <w:sz w:val="18"/>
    </w:rPr>
  </w:style>
  <w:style w:type="paragraph" w:styleId="33">
    <w:name w:val="Body Text 2"/>
    <w:basedOn w:val="1"/>
    <w:qFormat/>
    <w:uiPriority w:val="0"/>
    <w:rPr>
      <w:i/>
      <w:color w:val="0000FF"/>
    </w:rPr>
  </w:style>
  <w:style w:type="paragraph" w:styleId="34">
    <w:name w:val="Title"/>
    <w:basedOn w:val="1"/>
    <w:next w:val="1"/>
    <w:qFormat/>
    <w:uiPriority w:val="0"/>
    <w:pPr>
      <w:spacing w:line="240" w:lineRule="auto"/>
      <w:jc w:val="center"/>
    </w:pPr>
    <w:rPr>
      <w:rFonts w:ascii="Arial" w:hAnsi="Arial"/>
      <w:b/>
      <w:sz w:val="36"/>
    </w:rPr>
  </w:style>
  <w:style w:type="paragraph" w:styleId="35">
    <w:name w:val="annotation subject"/>
    <w:basedOn w:val="14"/>
    <w:next w:val="14"/>
    <w:link w:val="64"/>
    <w:qFormat/>
    <w:uiPriority w:val="0"/>
    <w:rPr>
      <w:b/>
      <w:bCs/>
    </w:rPr>
  </w:style>
  <w:style w:type="table" w:styleId="37">
    <w:name w:val="Table Grid"/>
    <w:basedOn w:val="36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9">
    <w:name w:val="Strong"/>
    <w:qFormat/>
    <w:uiPriority w:val="0"/>
    <w:rPr>
      <w:b/>
      <w:bCs/>
    </w:rPr>
  </w:style>
  <w:style w:type="character" w:styleId="40">
    <w:name w:val="page number"/>
    <w:basedOn w:val="38"/>
    <w:qFormat/>
    <w:uiPriority w:val="0"/>
  </w:style>
  <w:style w:type="character" w:styleId="41">
    <w:name w:val="FollowedHyperlink"/>
    <w:qFormat/>
    <w:uiPriority w:val="0"/>
    <w:rPr>
      <w:color w:val="800080"/>
      <w:u w:val="single"/>
    </w:rPr>
  </w:style>
  <w:style w:type="character" w:styleId="42">
    <w:name w:val="Hyperlink"/>
    <w:qFormat/>
    <w:uiPriority w:val="0"/>
    <w:rPr>
      <w:color w:val="0000FF"/>
      <w:u w:val="single"/>
    </w:rPr>
  </w:style>
  <w:style w:type="character" w:styleId="43">
    <w:name w:val="annotation reference"/>
    <w:qFormat/>
    <w:uiPriority w:val="0"/>
    <w:rPr>
      <w:sz w:val="21"/>
      <w:szCs w:val="21"/>
    </w:rPr>
  </w:style>
  <w:style w:type="character" w:styleId="44">
    <w:name w:val="footnote reference"/>
    <w:semiHidden/>
    <w:qFormat/>
    <w:uiPriority w:val="0"/>
    <w:rPr>
      <w:sz w:val="20"/>
      <w:vertAlign w:val="superscript"/>
    </w:rPr>
  </w:style>
  <w:style w:type="paragraph" w:customStyle="1" w:styleId="45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46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47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48">
    <w:name w:val="Comment"/>
    <w:basedOn w:val="1"/>
    <w:qFormat/>
    <w:uiPriority w:val="0"/>
    <w:pPr>
      <w:widowControl/>
      <w:spacing w:after="120" w:line="240" w:lineRule="auto"/>
    </w:pPr>
    <w:rPr>
      <w:i/>
      <w:color w:val="000080"/>
      <w:sz w:val="22"/>
    </w:rPr>
  </w:style>
  <w:style w:type="paragraph" w:customStyle="1" w:styleId="49">
    <w:name w:val="Paragraph3"/>
    <w:basedOn w:val="1"/>
    <w:qFormat/>
    <w:uiPriority w:val="0"/>
    <w:pPr>
      <w:spacing w:before="80" w:line="240" w:lineRule="auto"/>
      <w:ind w:left="1530"/>
      <w:jc w:val="both"/>
    </w:pPr>
  </w:style>
  <w:style w:type="paragraph" w:customStyle="1" w:styleId="50">
    <w:name w:val="Bullet1"/>
    <w:basedOn w:val="1"/>
    <w:qFormat/>
    <w:uiPriority w:val="0"/>
    <w:pPr>
      <w:ind w:left="720" w:hanging="432"/>
    </w:pPr>
  </w:style>
  <w:style w:type="paragraph" w:customStyle="1" w:styleId="51">
    <w:name w:val="InfoBlue"/>
    <w:basedOn w:val="1"/>
    <w:next w:val="15"/>
    <w:qFormat/>
    <w:uiPriority w:val="0"/>
    <w:pPr>
      <w:tabs>
        <w:tab w:val="left" w:pos="882"/>
      </w:tabs>
      <w:spacing w:before="120" w:after="120"/>
      <w:ind w:left="392" w:firstLine="8"/>
    </w:pPr>
    <w:rPr>
      <w:rFonts w:ascii="Arial" w:hAnsi="Arial"/>
      <w:color w:val="0000FF"/>
    </w:rPr>
  </w:style>
  <w:style w:type="paragraph" w:customStyle="1" w:styleId="52">
    <w:name w:val="Paragraph4"/>
    <w:basedOn w:val="1"/>
    <w:qFormat/>
    <w:uiPriority w:val="0"/>
    <w:pPr>
      <w:spacing w:before="80" w:line="240" w:lineRule="auto"/>
      <w:ind w:left="2250"/>
      <w:jc w:val="both"/>
    </w:pPr>
  </w:style>
  <w:style w:type="paragraph" w:customStyle="1" w:styleId="53">
    <w:name w:val="Paragraph2"/>
    <w:basedOn w:val="1"/>
    <w:qFormat/>
    <w:uiPriority w:val="0"/>
    <w:pPr>
      <w:spacing w:before="80"/>
      <w:ind w:left="720"/>
      <w:jc w:val="both"/>
    </w:pPr>
    <w:rPr>
      <w:color w:val="000000"/>
      <w:lang w:val="en-AU"/>
    </w:rPr>
  </w:style>
  <w:style w:type="paragraph" w:customStyle="1" w:styleId="54">
    <w:name w:val="HD标题3"/>
    <w:basedOn w:val="1"/>
    <w:qFormat/>
    <w:uiPriority w:val="0"/>
    <w:pPr>
      <w:spacing w:before="360" w:line="480" w:lineRule="atLeast"/>
      <w:jc w:val="both"/>
    </w:pPr>
    <w:rPr>
      <w:rFonts w:eastAsia="黑体"/>
      <w:b/>
      <w:kern w:val="2"/>
      <w:sz w:val="28"/>
    </w:rPr>
  </w:style>
  <w:style w:type="paragraph" w:customStyle="1" w:styleId="55">
    <w:name w:val="Main Title"/>
    <w:basedOn w:val="1"/>
    <w:qFormat/>
    <w:uiPriority w:val="0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56">
    <w:name w:val="注释"/>
    <w:basedOn w:val="1"/>
    <w:qFormat/>
    <w:uiPriority w:val="0"/>
    <w:rPr>
      <w:color w:val="0000FF"/>
    </w:rPr>
  </w:style>
  <w:style w:type="paragraph" w:customStyle="1" w:styleId="57">
    <w:name w:val="Bullet"/>
    <w:basedOn w:val="1"/>
    <w:qFormat/>
    <w:uiPriority w:val="0"/>
    <w:pPr>
      <w:widowControl/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58">
    <w:name w:val="Body"/>
    <w:basedOn w:val="1"/>
    <w:qFormat/>
    <w:uiPriority w:val="0"/>
    <w:pPr>
      <w:widowControl/>
      <w:spacing w:before="120" w:line="240" w:lineRule="auto"/>
      <w:jc w:val="both"/>
    </w:pPr>
    <w:rPr>
      <w:rFonts w:ascii="Book Antiqua" w:hAnsi="Book Antiqua"/>
      <w:lang w:eastAsia="en-US"/>
    </w:rPr>
  </w:style>
  <w:style w:type="paragraph" w:customStyle="1" w:styleId="59">
    <w:name w:val="HD正文1"/>
    <w:basedOn w:val="1"/>
    <w:qFormat/>
    <w:uiPriority w:val="0"/>
    <w:pPr>
      <w:spacing w:line="440" w:lineRule="atLeast"/>
      <w:ind w:firstLine="540"/>
      <w:jc w:val="both"/>
    </w:pPr>
    <w:rPr>
      <w:kern w:val="2"/>
      <w:sz w:val="24"/>
    </w:rPr>
  </w:style>
  <w:style w:type="paragraph" w:customStyle="1" w:styleId="60">
    <w:name w:val="Paragraph1"/>
    <w:basedOn w:val="1"/>
    <w:qFormat/>
    <w:uiPriority w:val="0"/>
    <w:pPr>
      <w:spacing w:before="80" w:line="240" w:lineRule="auto"/>
      <w:jc w:val="both"/>
    </w:pPr>
  </w:style>
  <w:style w:type="paragraph" w:customStyle="1" w:styleId="61">
    <w:name w:val="Tabletext"/>
    <w:basedOn w:val="1"/>
    <w:qFormat/>
    <w:uiPriority w:val="0"/>
    <w:pPr>
      <w:keepLines/>
      <w:spacing w:after="120"/>
    </w:pPr>
  </w:style>
  <w:style w:type="paragraph" w:customStyle="1" w:styleId="62">
    <w:name w:val="Bullet2"/>
    <w:basedOn w:val="1"/>
    <w:qFormat/>
    <w:uiPriority w:val="0"/>
    <w:pPr>
      <w:ind w:left="1440" w:hanging="360"/>
    </w:pPr>
    <w:rPr>
      <w:color w:val="000080"/>
    </w:rPr>
  </w:style>
  <w:style w:type="paragraph" w:customStyle="1" w:styleId="6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  <w:style w:type="character" w:customStyle="1" w:styleId="64">
    <w:name w:val="批注主题 字符"/>
    <w:link w:val="35"/>
    <w:qFormat/>
    <w:uiPriority w:val="0"/>
    <w:rPr>
      <w:b/>
      <w:bCs/>
      <w:sz w:val="21"/>
    </w:rPr>
  </w:style>
  <w:style w:type="character" w:customStyle="1" w:styleId="65">
    <w:name w:val="批注文字 字符"/>
    <w:link w:val="14"/>
    <w:qFormat/>
    <w:uiPriority w:val="0"/>
    <w:rPr>
      <w:sz w:val="21"/>
    </w:rPr>
  </w:style>
  <w:style w:type="paragraph" w:styleId="66">
    <w:name w:val="List Paragraph"/>
    <w:basedOn w:val="1"/>
    <w:qFormat/>
    <w:uiPriority w:val="34"/>
    <w:pPr>
      <w:ind w:firstLine="420" w:firstLineChars="200"/>
    </w:pPr>
  </w:style>
  <w:style w:type="paragraph" w:styleId="67">
    <w:name w:val="No Spacing"/>
    <w:basedOn w:val="1"/>
    <w:qFormat/>
    <w:uiPriority w:val="1"/>
    <w:pPr>
      <w:spacing w:line="240" w:lineRule="auto"/>
      <w:ind w:firstLine="0" w:firstLineChars="0"/>
      <w:jc w:val="center"/>
    </w:pPr>
    <w:rPr>
      <w:rFonts w:cs="Times New Roman"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9.jpeg"/><Relationship Id="rId18" Type="http://schemas.openxmlformats.org/officeDocument/2006/relationships/image" Target="media/image8.jpeg"/><Relationship Id="rId17" Type="http://schemas.openxmlformats.org/officeDocument/2006/relationships/image" Target="media/image7.jpeg"/><Relationship Id="rId16" Type="http://schemas.openxmlformats.org/officeDocument/2006/relationships/image" Target="media/image6.jpe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jpeg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SO9000\&#20449;&#28304;&#21672;&#35759;\&#21508;&#31181;&#27169;&#26495;\&#25991;&#26723;&#27169;&#26495;(ISO)1.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文档模板(ISO)1.1.dot</Template>
  <Company>mzhx</Company>
  <Pages>10</Pages>
  <Words>1770</Words>
  <Characters>2399</Characters>
  <Lines>26</Lines>
  <Paragraphs>7</Paragraphs>
  <TotalTime>0</TotalTime>
  <ScaleCrop>false</ScaleCrop>
  <LinksUpToDate>false</LinksUpToDate>
  <CharactersWithSpaces>3257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2020-08-27T05:22:00Z</dcterms:created>
  <dc:creator>renzt</dc:creator>
  <cp:lastModifiedBy>SCJD007</cp:lastModifiedBy>
  <cp:lastPrinted>2018-05-31T02:20:00Z</cp:lastPrinted>
  <dcterms:modified xsi:type="dcterms:W3CDTF">2023-05-06T01:01:24Z</dcterms:modified>
  <dc:title>质量记录控制程序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版本号">
    <vt:lpwstr>&lt;版本号&gt;</vt:lpwstr>
  </property>
  <property fmtid="{D5CDD505-2E9C-101B-9397-08002B2CF9AE}" pid="3" name="受控状态">
    <vt:lpwstr>&lt;受控状态&gt;</vt:lpwstr>
  </property>
  <property fmtid="{D5CDD505-2E9C-101B-9397-08002B2CF9AE}" pid="4" name="文件编号">
    <vt:lpwstr>&lt;文件编号&gt;</vt:lpwstr>
  </property>
  <property fmtid="{D5CDD505-2E9C-101B-9397-08002B2CF9AE}" pid="5" name="KSOProductBuildVer">
    <vt:lpwstr>2052-11.1.0.13703</vt:lpwstr>
  </property>
  <property fmtid="{D5CDD505-2E9C-101B-9397-08002B2CF9AE}" pid="6" name="审核1">
    <vt:lpwstr>杨超</vt:lpwstr>
  </property>
  <property fmtid="{D5CDD505-2E9C-101B-9397-08002B2CF9AE}" pid="7" name="批准1">
    <vt:lpwstr>韩强</vt:lpwstr>
  </property>
  <property fmtid="{D5CDD505-2E9C-101B-9397-08002B2CF9AE}" pid="8" name="编制1">
    <vt:lpwstr>李洋</vt:lpwstr>
  </property>
  <property fmtid="{D5CDD505-2E9C-101B-9397-08002B2CF9AE}" pid="9" name="批准1日期">
    <vt:lpwstr>2023-04-03</vt:lpwstr>
  </property>
  <property fmtid="{D5CDD505-2E9C-101B-9397-08002B2CF9AE}" pid="10" name="批准1日期1">
    <vt:lpwstr> </vt:lpwstr>
  </property>
  <property fmtid="{D5CDD505-2E9C-101B-9397-08002B2CF9AE}" pid="11" name="文件编号1">
    <vt:lpwstr>GY/INMAI-GX-3-CL2-JG-0004</vt:lpwstr>
  </property>
  <property fmtid="{D5CDD505-2E9C-101B-9397-08002B2CF9AE}" pid="12" name="版本号1">
    <vt:lpwstr>1.0</vt:lpwstr>
  </property>
  <property fmtid="{D5CDD505-2E9C-101B-9397-08002B2CF9AE}" pid="13" name="ICV">
    <vt:lpwstr>ACBC39865C054C959AB36015423BFA2D</vt:lpwstr>
  </property>
</Properties>
</file>