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62" w:rsidRDefault="004F3A62" w:rsidP="004F3A62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云台</w:t>
      </w:r>
      <w:r>
        <w:rPr>
          <w:rFonts w:eastAsia="仿宋_GB2312" w:hint="eastAsia"/>
          <w:sz w:val="28"/>
          <w:szCs w:val="28"/>
        </w:rPr>
        <w:t>技术规格</w:t>
      </w:r>
      <w:r>
        <w:rPr>
          <w:rFonts w:eastAsia="仿宋_GB2312" w:hint="eastAsia"/>
          <w:sz w:val="28"/>
          <w:szCs w:val="28"/>
        </w:rPr>
        <w:t>要求</w:t>
      </w:r>
      <w:r>
        <w:rPr>
          <w:rFonts w:eastAsia="仿宋_GB2312" w:hint="eastAsia"/>
          <w:sz w:val="28"/>
          <w:szCs w:val="28"/>
        </w:rPr>
        <w:t>-</w:t>
      </w:r>
      <w:bookmarkStart w:id="0" w:name="_GoBack"/>
      <w:bookmarkEnd w:id="0"/>
      <w:r>
        <w:rPr>
          <w:rFonts w:eastAsia="仿宋_GB2312" w:hint="eastAsia"/>
          <w:sz w:val="28"/>
          <w:szCs w:val="28"/>
        </w:rPr>
        <w:t>20200306</w:t>
      </w:r>
    </w:p>
    <w:p w:rsidR="004F3A62" w:rsidRDefault="004F3A62" w:rsidP="004F3A62">
      <w:pPr>
        <w:keepNext/>
        <w:spacing w:beforeLines="50" w:before="156"/>
        <w:jc w:val="center"/>
        <w:rPr>
          <w:rFonts w:ascii="仿宋_GB2312" w:eastAsia="仿宋_GB2312" w:hAnsi="Calibri"/>
          <w:bCs/>
          <w:sz w:val="28"/>
          <w:szCs w:val="28"/>
        </w:rPr>
      </w:pPr>
      <w:r>
        <w:rPr>
          <w:rFonts w:ascii="仿宋_GB2312" w:eastAsia="仿宋_GB2312" w:hAnsi="Calibri" w:hint="eastAsia"/>
          <w:bCs/>
          <w:noProof/>
          <w:sz w:val="28"/>
          <w:szCs w:val="28"/>
        </w:rPr>
        <w:drawing>
          <wp:inline distT="0" distB="0" distL="0" distR="0" wp14:anchorId="68088032" wp14:editId="292AF24E">
            <wp:extent cx="3599815" cy="2421255"/>
            <wp:effectExtent l="0" t="0" r="635" b="17145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2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62" w:rsidRDefault="004F3A62" w:rsidP="004F3A62">
      <w:pPr>
        <w:spacing w:line="360" w:lineRule="auto"/>
        <w:ind w:firstLineChars="236" w:firstLine="425"/>
        <w:jc w:val="center"/>
        <w:rPr>
          <w:rFonts w:eastAsia="黑体"/>
          <w:bCs/>
          <w:sz w:val="18"/>
          <w:szCs w:val="18"/>
        </w:rPr>
      </w:pPr>
      <w:r>
        <w:rPr>
          <w:rFonts w:eastAsia="黑体"/>
          <w:bCs/>
          <w:sz w:val="18"/>
          <w:szCs w:val="18"/>
        </w:rPr>
        <w:t>图</w:t>
      </w:r>
      <w:r>
        <w:rPr>
          <w:rFonts w:eastAsia="黑体"/>
          <w:bCs/>
          <w:sz w:val="18"/>
          <w:szCs w:val="18"/>
        </w:rPr>
        <w:t xml:space="preserve"> </w:t>
      </w:r>
      <w:r>
        <w:rPr>
          <w:rFonts w:eastAsia="黑体" w:hint="eastAsia"/>
          <w:bCs/>
          <w:sz w:val="18"/>
          <w:szCs w:val="18"/>
        </w:rPr>
        <w:t>1</w:t>
      </w:r>
      <w:r>
        <w:rPr>
          <w:rFonts w:eastAsia="黑体"/>
          <w:bCs/>
          <w:sz w:val="18"/>
          <w:szCs w:val="18"/>
        </w:rPr>
        <w:t xml:space="preserve"> </w:t>
      </w:r>
      <w:r>
        <w:rPr>
          <w:rFonts w:eastAsia="仿宋_GB2312"/>
          <w:bCs/>
          <w:color w:val="000000"/>
          <w:sz w:val="18"/>
          <w:szCs w:val="18"/>
        </w:rPr>
        <w:t>DT-200-YT01</w:t>
      </w:r>
      <w:r>
        <w:rPr>
          <w:rFonts w:eastAsia="仿宋_GB2312"/>
          <w:bCs/>
          <w:color w:val="000000"/>
          <w:sz w:val="18"/>
          <w:szCs w:val="18"/>
        </w:rPr>
        <w:t>（</w:t>
      </w:r>
      <w:r>
        <w:rPr>
          <w:rFonts w:eastAsia="仿宋_GB2312"/>
          <w:bCs/>
          <w:color w:val="000000"/>
          <w:sz w:val="18"/>
          <w:szCs w:val="18"/>
        </w:rPr>
        <w:t>G</w:t>
      </w:r>
      <w:r>
        <w:rPr>
          <w:rFonts w:eastAsia="仿宋_GB2312"/>
          <w:bCs/>
          <w:color w:val="000000"/>
          <w:sz w:val="18"/>
          <w:szCs w:val="18"/>
        </w:rPr>
        <w:t>）</w:t>
      </w:r>
      <w:r>
        <w:rPr>
          <w:rFonts w:eastAsia="黑体"/>
          <w:bCs/>
          <w:sz w:val="18"/>
          <w:szCs w:val="18"/>
        </w:rPr>
        <w:t>云台</w:t>
      </w:r>
    </w:p>
    <w:p w:rsidR="004F3A62" w:rsidRDefault="004F3A62" w:rsidP="004F3A62">
      <w:pPr>
        <w:spacing w:line="360" w:lineRule="auto"/>
        <w:ind w:firstLineChars="236" w:firstLine="425"/>
        <w:jc w:val="center"/>
        <w:rPr>
          <w:rFonts w:eastAsia="黑体"/>
          <w:bCs/>
          <w:sz w:val="18"/>
          <w:szCs w:val="18"/>
        </w:rPr>
      </w:pPr>
    </w:p>
    <w:p w:rsidR="004F3A62" w:rsidRDefault="004F3A62" w:rsidP="004F3A62">
      <w:pPr>
        <w:ind w:firstLine="42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铝制件外部喷塑，亚光（可采用</w:t>
      </w:r>
      <w:proofErr w:type="gramStart"/>
      <w:r>
        <w:rPr>
          <w:rFonts w:ascii="Calibri" w:hAnsi="Calibri" w:hint="eastAsia"/>
          <w:sz w:val="28"/>
          <w:szCs w:val="28"/>
        </w:rPr>
        <w:t>小桔纹</w:t>
      </w:r>
      <w:proofErr w:type="gramEnd"/>
      <w:r>
        <w:rPr>
          <w:rFonts w:ascii="Calibri" w:hAnsi="Calibri" w:hint="eastAsia"/>
          <w:sz w:val="28"/>
          <w:szCs w:val="28"/>
        </w:rPr>
        <w:t>），颜色</w:t>
      </w:r>
      <w:r>
        <w:rPr>
          <w:rFonts w:ascii="Calibri" w:hAnsi="Calibri" w:hint="eastAsia"/>
          <w:sz w:val="28"/>
          <w:szCs w:val="28"/>
        </w:rPr>
        <w:t>RAL7046</w:t>
      </w:r>
      <w:r>
        <w:rPr>
          <w:rFonts w:ascii="Calibri" w:hAnsi="Calibri" w:hint="eastAsia"/>
          <w:sz w:val="28"/>
          <w:szCs w:val="28"/>
        </w:rPr>
        <w:t>；不锈钢件表面钝化、本色。</w:t>
      </w:r>
    </w:p>
    <w:p w:rsidR="004F3A62" w:rsidRDefault="004F3A62" w:rsidP="004F3A62"/>
    <w:p w:rsidR="004F3A62" w:rsidRDefault="004F3A62" w:rsidP="004F3A62">
      <w:pPr>
        <w:numPr>
          <w:ilvl w:val="1"/>
          <w:numId w:val="1"/>
        </w:numPr>
        <w:spacing w:line="360" w:lineRule="auto"/>
        <w:ind w:firstLine="0"/>
        <w:outlineLvl w:val="1"/>
        <w:rPr>
          <w:rFonts w:ascii="仿宋_GB2312" w:eastAsia="仿宋_GB2312" w:hAnsi="Calibri"/>
          <w:bCs/>
          <w:sz w:val="28"/>
          <w:szCs w:val="28"/>
        </w:rPr>
      </w:pPr>
      <w:r>
        <w:rPr>
          <w:rFonts w:ascii="仿宋_GB2312" w:eastAsia="仿宋_GB2312" w:hAnsi="Calibri" w:hint="eastAsia"/>
          <w:bCs/>
          <w:sz w:val="28"/>
          <w:szCs w:val="28"/>
        </w:rPr>
        <w:t>技术指标</w:t>
      </w:r>
    </w:p>
    <w:p w:rsidR="004F3A62" w:rsidRDefault="004F3A62" w:rsidP="004F3A62">
      <w:pPr>
        <w:spacing w:line="360" w:lineRule="auto"/>
        <w:ind w:firstLineChars="236" w:firstLine="661"/>
        <w:rPr>
          <w:rFonts w:ascii="仿宋_GB2312" w:eastAsia="仿宋_GB2312" w:hAnsi="Calibri"/>
          <w:bCs/>
          <w:sz w:val="28"/>
          <w:szCs w:val="28"/>
        </w:rPr>
      </w:pPr>
      <w:r>
        <w:rPr>
          <w:rFonts w:ascii="仿宋_GB2312" w:eastAsia="仿宋_GB2312" w:hAnsi="Calibri" w:hint="eastAsia"/>
          <w:bCs/>
          <w:sz w:val="28"/>
          <w:szCs w:val="28"/>
        </w:rPr>
        <w:t>采用定制云台，技术指标见下表。</w:t>
      </w:r>
    </w:p>
    <w:p w:rsidR="004F3A62" w:rsidRDefault="004F3A62" w:rsidP="004F3A62">
      <w:pPr>
        <w:spacing w:beforeLines="50" w:before="156"/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表</w:t>
      </w:r>
      <w:r>
        <w:rPr>
          <w:rFonts w:hint="eastAsia"/>
          <w:b/>
          <w:bCs/>
          <w:szCs w:val="28"/>
        </w:rPr>
        <w:t xml:space="preserve"> </w:t>
      </w:r>
      <w:r>
        <w:rPr>
          <w:b/>
          <w:bCs/>
          <w:szCs w:val="28"/>
        </w:rPr>
        <w:t>1.</w:t>
      </w:r>
      <w:r>
        <w:rPr>
          <w:b/>
          <w:bCs/>
          <w:szCs w:val="28"/>
        </w:rPr>
        <w:fldChar w:fldCharType="begin"/>
      </w:r>
      <w:r>
        <w:rPr>
          <w:b/>
          <w:bCs/>
          <w:szCs w:val="28"/>
        </w:rPr>
        <w:instrText xml:space="preserve"> </w:instrText>
      </w:r>
      <w:r>
        <w:rPr>
          <w:rFonts w:hint="eastAsia"/>
          <w:b/>
          <w:bCs/>
          <w:szCs w:val="28"/>
        </w:rPr>
        <w:instrText xml:space="preserve">SEQ </w:instrText>
      </w:r>
      <w:r>
        <w:rPr>
          <w:rFonts w:hint="eastAsia"/>
          <w:b/>
          <w:bCs/>
          <w:szCs w:val="28"/>
        </w:rPr>
        <w:instrText>表</w:instrText>
      </w:r>
      <w:r>
        <w:rPr>
          <w:rFonts w:hint="eastAsia"/>
          <w:b/>
          <w:bCs/>
          <w:szCs w:val="28"/>
        </w:rPr>
        <w:instrText xml:space="preserve"> \* ARABIC \s 1</w:instrText>
      </w:r>
      <w:r>
        <w:rPr>
          <w:b/>
          <w:bCs/>
          <w:szCs w:val="28"/>
        </w:rPr>
        <w:instrText xml:space="preserve"> </w:instrText>
      </w:r>
      <w:r>
        <w:rPr>
          <w:b/>
          <w:bCs/>
          <w:szCs w:val="28"/>
        </w:rPr>
        <w:fldChar w:fldCharType="separate"/>
      </w:r>
      <w:r>
        <w:rPr>
          <w:b/>
          <w:bCs/>
          <w:szCs w:val="28"/>
        </w:rPr>
        <w:t>1</w:t>
      </w:r>
      <w:r>
        <w:rPr>
          <w:b/>
          <w:bCs/>
          <w:szCs w:val="28"/>
        </w:rPr>
        <w:fldChar w:fldCharType="end"/>
      </w:r>
      <w:r>
        <w:rPr>
          <w:rFonts w:hint="eastAsia"/>
          <w:b/>
          <w:bCs/>
          <w:szCs w:val="28"/>
        </w:rPr>
        <w:t xml:space="preserve">  </w:t>
      </w:r>
      <w:r>
        <w:rPr>
          <w:rFonts w:hint="eastAsia"/>
          <w:b/>
          <w:bCs/>
          <w:szCs w:val="28"/>
        </w:rPr>
        <w:t>技术指标与性能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</w:tblGrid>
      <w:tr w:rsidR="004F3A62" w:rsidTr="00587FA2">
        <w:trPr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定制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-- DT-200-YT01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4F3A62" w:rsidTr="00587FA2">
        <w:trPr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sz w:val="18"/>
                <w:szCs w:val="18"/>
              </w:rPr>
              <w:t>旋转速度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水平</w:t>
            </w: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01</w:t>
            </w: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/S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；俯仰</w:t>
            </w: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01</w:t>
            </w: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°/S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（连续变速）</w:t>
            </w:r>
          </w:p>
        </w:tc>
      </w:tr>
      <w:tr w:rsidR="004F3A62" w:rsidTr="00587FA2">
        <w:trPr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旋转角度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水平</w:t>
            </w:r>
            <w:r>
              <w:rPr>
                <w:rFonts w:ascii="仿宋_GB2312" w:eastAsia="仿宋_GB2312" w:hAnsi="Calibri" w:hint="eastAsia"/>
                <w:bCs/>
                <w:color w:val="000000"/>
                <w:sz w:val="18"/>
                <w:szCs w:val="18"/>
              </w:rPr>
              <w:t>-3</w:t>
            </w:r>
            <w:r>
              <w:rPr>
                <w:rFonts w:ascii="仿宋_GB2312" w:eastAsia="仿宋_GB2312" w:hAnsi="Calibri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仿宋_GB2312" w:eastAsia="仿宋_GB2312" w:hAnsi="Calibri" w:hint="eastAsia"/>
                <w:bCs/>
                <w:color w:val="000000"/>
                <w:sz w:val="18"/>
                <w:szCs w:val="18"/>
              </w:rPr>
              <w:t>°</w:t>
            </w:r>
            <w:r>
              <w:rPr>
                <w:rFonts w:ascii="仿宋_GB2312" w:eastAsia="仿宋_GB2312" w:hAnsi="Calibri"/>
                <w:bCs/>
                <w:color w:val="000000"/>
                <w:sz w:val="18"/>
                <w:szCs w:val="18"/>
              </w:rPr>
              <w:t>～</w:t>
            </w:r>
            <w:r>
              <w:rPr>
                <w:rFonts w:ascii="仿宋_GB2312" w:eastAsia="仿宋_GB2312" w:hAnsi="Calibri" w:hint="eastAsia"/>
                <w:bCs/>
                <w:color w:val="000000"/>
                <w:sz w:val="18"/>
                <w:szCs w:val="18"/>
              </w:rPr>
              <w:t>30°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连续旋转；俯仰</w:t>
            </w:r>
            <w:proofErr w:type="gramStart"/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俯仰</w:t>
            </w:r>
            <w:proofErr w:type="gramEnd"/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°</w:t>
            </w: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°；</w:t>
            </w:r>
          </w:p>
        </w:tc>
      </w:tr>
      <w:tr w:rsidR="004F3A62" w:rsidTr="00587FA2">
        <w:trPr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预置位</w:t>
            </w:r>
            <w:proofErr w:type="gramEnd"/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4F3A62" w:rsidTr="00587FA2">
        <w:trPr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sz w:val="18"/>
                <w:szCs w:val="18"/>
              </w:rPr>
              <w:t>定位精度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±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0.1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°</w:t>
            </w:r>
          </w:p>
        </w:tc>
      </w:tr>
      <w:tr w:rsidR="004F3A62" w:rsidTr="00587FA2">
        <w:trPr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sz w:val="18"/>
                <w:szCs w:val="18"/>
              </w:rPr>
              <w:t>重复精度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±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0.1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°</w:t>
            </w:r>
          </w:p>
        </w:tc>
      </w:tr>
      <w:tr w:rsidR="004F3A62" w:rsidTr="00587FA2">
        <w:trPr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sz w:val="18"/>
                <w:szCs w:val="18"/>
              </w:rPr>
              <w:t>定位角度分辨率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0.01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°</w:t>
            </w:r>
          </w:p>
        </w:tc>
      </w:tr>
      <w:tr w:rsidR="004F3A62" w:rsidTr="00587FA2">
        <w:trPr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镜头</w:t>
            </w:r>
            <w:proofErr w:type="gramStart"/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预置位</w:t>
            </w:r>
            <w:proofErr w:type="gramEnd"/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支持，可自适应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FUJINON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COMPUTAR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KOWA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等多种镜头</w:t>
            </w:r>
          </w:p>
        </w:tc>
      </w:tr>
      <w:tr w:rsidR="004F3A62" w:rsidTr="00587FA2">
        <w:trPr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镜头控制速度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变焦、聚焦控制速度连续可调</w:t>
            </w:r>
          </w:p>
        </w:tc>
      </w:tr>
      <w:tr w:rsidR="004F3A62" w:rsidTr="00587FA2">
        <w:trPr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自动巡航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条，每条可设置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个巡航点</w:t>
            </w:r>
          </w:p>
        </w:tc>
      </w:tr>
      <w:tr w:rsidR="004F3A62" w:rsidTr="00587FA2">
        <w:trPr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防盐雾（可选）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在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PH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值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6.5-7.2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之间，连续喷雾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48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  <w:shd w:val="clear" w:color="auto" w:fill="FFFFFF"/>
              </w:rPr>
              <w:t>小时后，机器正常工作，表面无明显变化</w:t>
            </w:r>
          </w:p>
        </w:tc>
      </w:tr>
      <w:tr w:rsidR="004F3A62" w:rsidTr="00587FA2">
        <w:trPr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通讯协议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PELCO_D</w:t>
            </w:r>
          </w:p>
        </w:tc>
      </w:tr>
      <w:tr w:rsidR="004F3A62" w:rsidTr="00587FA2">
        <w:trPr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通信波特率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9600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bps</w:t>
            </w:r>
          </w:p>
        </w:tc>
      </w:tr>
      <w:tr w:rsidR="004F3A62" w:rsidTr="00587FA2">
        <w:trPr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通信接口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RS485</w:t>
            </w:r>
          </w:p>
        </w:tc>
      </w:tr>
      <w:tr w:rsidR="004F3A62" w:rsidTr="00587FA2">
        <w:trPr>
          <w:trHeight w:val="125"/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输入</w:t>
            </w: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电源范围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DC</w:t>
            </w: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宋体" w:eastAsia="仿宋_GB2312" w:hAnsi="宋体"/>
                <w:bCs/>
                <w:sz w:val="18"/>
                <w:szCs w:val="18"/>
              </w:rPr>
              <w:t>V</w:t>
            </w:r>
          </w:p>
        </w:tc>
      </w:tr>
      <w:tr w:rsidR="004F3A62" w:rsidTr="00587FA2">
        <w:trPr>
          <w:trHeight w:val="125"/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整机功耗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≤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  <w:t>W</w:t>
            </w:r>
          </w:p>
        </w:tc>
      </w:tr>
      <w:tr w:rsidR="004F3A62" w:rsidTr="00587FA2">
        <w:trPr>
          <w:trHeight w:val="125"/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静止功耗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5W</w:t>
            </w:r>
          </w:p>
        </w:tc>
      </w:tr>
      <w:tr w:rsidR="004F3A62" w:rsidTr="00587FA2">
        <w:trPr>
          <w:trHeight w:val="125"/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工作温度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-40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℃～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+55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℃，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  <w:t>90%±3%</w:t>
            </w:r>
            <w:r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  <w:t>，非凝结</w:t>
            </w:r>
          </w:p>
        </w:tc>
      </w:tr>
      <w:tr w:rsidR="004F3A62" w:rsidTr="00587FA2">
        <w:trPr>
          <w:trHeight w:val="125"/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储存温度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-40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℃～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+65</w:t>
            </w: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℃</w:t>
            </w:r>
          </w:p>
        </w:tc>
      </w:tr>
      <w:tr w:rsidR="004F3A62" w:rsidTr="00587FA2">
        <w:trPr>
          <w:trHeight w:val="125"/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负载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6Kg</w:t>
            </w:r>
          </w:p>
        </w:tc>
      </w:tr>
      <w:tr w:rsidR="004F3A62" w:rsidTr="00587FA2">
        <w:trPr>
          <w:trHeight w:val="125"/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整机重量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18"/>
                <w:szCs w:val="18"/>
              </w:rPr>
              <w:t>4.8Kg</w:t>
            </w:r>
          </w:p>
        </w:tc>
      </w:tr>
      <w:tr w:rsidR="004F3A62" w:rsidTr="00587FA2">
        <w:trPr>
          <w:trHeight w:val="125"/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承载方式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顶载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侧载</w:t>
            </w:r>
            <w:proofErr w:type="gramEnd"/>
          </w:p>
        </w:tc>
      </w:tr>
      <w:tr w:rsidR="004F3A62" w:rsidTr="00587FA2">
        <w:trPr>
          <w:trHeight w:val="125"/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传动方式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蜗轮蜗杆传动</w:t>
            </w:r>
          </w:p>
        </w:tc>
      </w:tr>
      <w:tr w:rsidR="004F3A62" w:rsidTr="00587FA2">
        <w:trPr>
          <w:trHeight w:val="125"/>
          <w:jc w:val="center"/>
        </w:trPr>
        <w:tc>
          <w:tcPr>
            <w:tcW w:w="1985" w:type="dxa"/>
            <w:vAlign w:val="center"/>
          </w:tcPr>
          <w:p w:rsidR="004F3A62" w:rsidRDefault="004F3A62" w:rsidP="00587FA2">
            <w:pP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5953" w:type="dxa"/>
            <w:vAlign w:val="center"/>
          </w:tcPr>
          <w:p w:rsidR="004F3A62" w:rsidRDefault="004F3A62" w:rsidP="00587FA2">
            <w:pPr>
              <w:widowControl/>
              <w:rPr>
                <w:rFonts w:ascii="宋体" w:eastAsia="仿宋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仿宋_GB2312" w:hAnsi="宋体" w:cs="宋体"/>
                <w:bCs/>
                <w:color w:val="000000"/>
                <w:kern w:val="0"/>
                <w:sz w:val="18"/>
                <w:szCs w:val="18"/>
              </w:rPr>
              <w:t>IP66</w:t>
            </w:r>
          </w:p>
        </w:tc>
      </w:tr>
    </w:tbl>
    <w:p w:rsidR="004F3A62" w:rsidRDefault="004F3A62" w:rsidP="004F3A62">
      <w:pPr>
        <w:numPr>
          <w:ilvl w:val="1"/>
          <w:numId w:val="1"/>
        </w:numPr>
        <w:spacing w:line="360" w:lineRule="auto"/>
        <w:ind w:firstLine="0"/>
        <w:outlineLvl w:val="1"/>
        <w:rPr>
          <w:rFonts w:ascii="仿宋_GB2312" w:eastAsia="仿宋_GB2312" w:hAnsi="Calibri"/>
          <w:bCs/>
          <w:sz w:val="28"/>
          <w:szCs w:val="28"/>
        </w:rPr>
      </w:pPr>
      <w:r>
        <w:rPr>
          <w:rFonts w:ascii="仿宋_GB2312" w:eastAsia="仿宋_GB2312" w:hAnsi="Calibri" w:hint="eastAsia"/>
          <w:bCs/>
          <w:sz w:val="28"/>
          <w:szCs w:val="28"/>
        </w:rPr>
        <w:t>云台紧固件机械防松要求</w:t>
      </w:r>
    </w:p>
    <w:p w:rsidR="004F3A62" w:rsidRDefault="004F3A62" w:rsidP="004F3A62">
      <w:pPr>
        <w:spacing w:line="360" w:lineRule="auto"/>
        <w:ind w:firstLineChars="236" w:firstLine="661"/>
        <w:rPr>
          <w:rFonts w:ascii="仿宋_GB2312" w:eastAsia="仿宋_GB2312" w:hAnsi="Calibri"/>
          <w:bCs/>
          <w:sz w:val="28"/>
          <w:szCs w:val="28"/>
        </w:rPr>
      </w:pPr>
      <w:r>
        <w:rPr>
          <w:rFonts w:ascii="仿宋_GB2312" w:eastAsia="仿宋_GB2312" w:hAnsi="Calibri" w:hint="eastAsia"/>
          <w:bCs/>
          <w:sz w:val="28"/>
          <w:szCs w:val="28"/>
        </w:rPr>
        <w:t>云台外露紧固件应符合机械防松要求：</w:t>
      </w:r>
    </w:p>
    <w:p w:rsidR="004F3A62" w:rsidRDefault="004F3A62" w:rsidP="004F3A62">
      <w:pPr>
        <w:spacing w:line="360" w:lineRule="auto"/>
        <w:ind w:firstLineChars="236" w:firstLine="661"/>
        <w:rPr>
          <w:rFonts w:ascii="仿宋_GB2312" w:eastAsia="仿宋_GB2312" w:hAnsi="Calibri"/>
          <w:bCs/>
          <w:sz w:val="28"/>
          <w:szCs w:val="28"/>
        </w:rPr>
      </w:pPr>
      <w:r>
        <w:rPr>
          <w:rFonts w:ascii="仿宋_GB2312" w:eastAsia="仿宋_GB2312" w:hAnsi="Calibri" w:hint="eastAsia"/>
          <w:bCs/>
          <w:sz w:val="28"/>
          <w:szCs w:val="28"/>
        </w:rPr>
        <w:t>（1）检查口盖板、窗口盖板、线夹等固定螺栓直径≥5mm；</w:t>
      </w:r>
    </w:p>
    <w:p w:rsidR="004F3A62" w:rsidRDefault="004F3A62" w:rsidP="004F3A62">
      <w:pPr>
        <w:spacing w:line="360" w:lineRule="auto"/>
        <w:ind w:firstLineChars="236" w:firstLine="661"/>
        <w:rPr>
          <w:rFonts w:ascii="仿宋_GB2312" w:eastAsia="仿宋_GB2312" w:hAnsi="Calibri"/>
          <w:bCs/>
          <w:sz w:val="28"/>
          <w:szCs w:val="28"/>
        </w:rPr>
      </w:pPr>
      <w:r>
        <w:rPr>
          <w:rFonts w:ascii="仿宋_GB2312" w:eastAsia="仿宋_GB2312" w:hAnsi="Calibri" w:hint="eastAsia"/>
          <w:bCs/>
          <w:sz w:val="28"/>
          <w:szCs w:val="28"/>
        </w:rPr>
        <w:t>（2）其它部位使用的螺栓，六角头螺杆带孔螺栓（</w:t>
      </w:r>
      <w:r>
        <w:rPr>
          <w:rFonts w:ascii="仿宋_GB2312" w:eastAsia="仿宋_GB2312" w:hAnsi="Calibri"/>
          <w:bCs/>
          <w:sz w:val="28"/>
          <w:szCs w:val="28"/>
        </w:rPr>
        <w:t>GB/T 31.1-2013）</w:t>
      </w:r>
      <w:r>
        <w:rPr>
          <w:rFonts w:ascii="仿宋_GB2312" w:eastAsia="仿宋_GB2312" w:hAnsi="Calibri" w:hint="eastAsia"/>
          <w:bCs/>
          <w:sz w:val="28"/>
          <w:szCs w:val="28"/>
        </w:rPr>
        <w:t>最小可使用直径≥10mm，其它种类螺栓最小可使用直径≥8mm。</w:t>
      </w:r>
    </w:p>
    <w:p w:rsidR="004F3A62" w:rsidRDefault="004F3A62" w:rsidP="004F3A62">
      <w:pPr>
        <w:spacing w:line="360" w:lineRule="auto"/>
        <w:ind w:firstLineChars="236" w:firstLine="661"/>
        <w:rPr>
          <w:rFonts w:ascii="仿宋_GB2312" w:eastAsia="仿宋_GB2312" w:hAnsi="Calibri"/>
          <w:bCs/>
          <w:sz w:val="28"/>
          <w:szCs w:val="28"/>
        </w:rPr>
      </w:pPr>
      <w:r>
        <w:rPr>
          <w:rFonts w:ascii="仿宋_GB2312" w:eastAsia="仿宋_GB2312" w:hAnsi="Calibri" w:hint="eastAsia"/>
          <w:bCs/>
          <w:sz w:val="28"/>
          <w:szCs w:val="28"/>
        </w:rPr>
        <w:t>（3）必须采用机械防松方式：螺栓杆带孔和开槽螺母配开口销、止动垫圈、钢丝串接。</w:t>
      </w:r>
    </w:p>
    <w:p w:rsidR="004F3A62" w:rsidRDefault="004F3A62" w:rsidP="004F3A62">
      <w:pPr>
        <w:numPr>
          <w:ilvl w:val="1"/>
          <w:numId w:val="1"/>
        </w:numPr>
        <w:spacing w:line="360" w:lineRule="auto"/>
        <w:ind w:firstLine="0"/>
        <w:outlineLvl w:val="1"/>
        <w:rPr>
          <w:rFonts w:ascii="仿宋_GB2312" w:eastAsia="仿宋_GB2312" w:hAnsi="Calibri"/>
          <w:bCs/>
          <w:sz w:val="28"/>
          <w:szCs w:val="28"/>
        </w:rPr>
      </w:pPr>
      <w:r>
        <w:rPr>
          <w:rFonts w:ascii="仿宋_GB2312" w:eastAsia="仿宋_GB2312" w:hAnsi="Calibri" w:hint="eastAsia"/>
          <w:bCs/>
          <w:sz w:val="28"/>
          <w:szCs w:val="28"/>
        </w:rPr>
        <w:t>云台外部尺寸</w:t>
      </w:r>
    </w:p>
    <w:p w:rsidR="004F3A62" w:rsidRDefault="004F3A62" w:rsidP="004F3A62">
      <w:pPr>
        <w:adjustRightInd w:val="0"/>
        <w:spacing w:afterLines="50" w:after="156"/>
        <w:jc w:val="center"/>
        <w:rPr>
          <w:rFonts w:ascii="Calibri Light" w:eastAsia="黑体" w:hAnsi="Calibri Light"/>
          <w:bCs/>
          <w:sz w:val="20"/>
          <w:szCs w:val="20"/>
        </w:rPr>
      </w:pPr>
      <w:r>
        <w:rPr>
          <w:noProof/>
        </w:rPr>
        <w:drawing>
          <wp:inline distT="0" distB="0" distL="0" distR="0" wp14:anchorId="689D4549" wp14:editId="7477FDD3">
            <wp:extent cx="3599815" cy="1751965"/>
            <wp:effectExtent l="0" t="0" r="63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75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62" w:rsidRDefault="004F3A62" w:rsidP="004F3A62">
      <w:pPr>
        <w:adjustRightInd w:val="0"/>
        <w:spacing w:afterLines="50" w:after="156"/>
        <w:jc w:val="center"/>
        <w:rPr>
          <w:rFonts w:ascii="Calibri Light" w:eastAsia="黑体" w:hAnsi="Calibri Light"/>
          <w:bCs/>
          <w:sz w:val="20"/>
          <w:szCs w:val="20"/>
        </w:rPr>
      </w:pPr>
      <w:r>
        <w:rPr>
          <w:rFonts w:ascii="Calibri Light" w:eastAsia="黑体" w:hAnsi="Calibri Light" w:hint="eastAsia"/>
          <w:bCs/>
          <w:sz w:val="20"/>
          <w:szCs w:val="20"/>
        </w:rPr>
        <w:t>图</w:t>
      </w:r>
      <w:r>
        <w:rPr>
          <w:rFonts w:ascii="Calibri Light" w:eastAsia="黑体" w:hAnsi="Calibri Light" w:hint="eastAsia"/>
          <w:bCs/>
          <w:sz w:val="20"/>
          <w:szCs w:val="20"/>
        </w:rPr>
        <w:t>2</w:t>
      </w:r>
      <w:r>
        <w:rPr>
          <w:rFonts w:ascii="Calibri Light" w:eastAsia="黑体" w:hAnsi="Calibri Light" w:hint="eastAsia"/>
          <w:bCs/>
          <w:sz w:val="20"/>
          <w:szCs w:val="20"/>
        </w:rPr>
        <w:t>云台外形主要尺寸</w:t>
      </w:r>
    </w:p>
    <w:p w:rsidR="004F3A62" w:rsidRDefault="004F3A62" w:rsidP="004F3A62">
      <w:pPr>
        <w:keepNext/>
        <w:spacing w:beforeLines="50" w:before="156"/>
        <w:jc w:val="center"/>
        <w:rPr>
          <w:rFonts w:ascii="仿宋_GB2312" w:eastAsia="仿宋_GB2312" w:hAnsi="Calibri"/>
          <w:bCs/>
          <w:sz w:val="28"/>
          <w:szCs w:val="28"/>
        </w:rPr>
      </w:pPr>
      <w:r>
        <w:rPr>
          <w:rFonts w:hint="eastAsia"/>
          <w:noProof/>
        </w:rPr>
        <w:lastRenderedPageBreak/>
        <w:drawing>
          <wp:inline distT="0" distB="0" distL="0" distR="0" wp14:anchorId="3A516E9B" wp14:editId="610CF9D0">
            <wp:extent cx="3599815" cy="2201545"/>
            <wp:effectExtent l="0" t="0" r="635" b="8255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0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62" w:rsidRDefault="004F3A62" w:rsidP="004F3A62">
      <w:pPr>
        <w:adjustRightInd w:val="0"/>
        <w:spacing w:afterLines="50" w:after="156"/>
        <w:jc w:val="center"/>
        <w:rPr>
          <w:rFonts w:ascii="Calibri Light" w:eastAsia="黑体" w:hAnsi="Calibri Light"/>
          <w:bCs/>
          <w:sz w:val="20"/>
          <w:szCs w:val="20"/>
        </w:rPr>
      </w:pPr>
      <w:r>
        <w:rPr>
          <w:rFonts w:ascii="Calibri Light" w:eastAsia="黑体" w:hAnsi="Calibri Light" w:hint="eastAsia"/>
          <w:bCs/>
          <w:sz w:val="20"/>
          <w:szCs w:val="20"/>
        </w:rPr>
        <w:t>图</w:t>
      </w:r>
      <w:r>
        <w:rPr>
          <w:rFonts w:ascii="Calibri Light" w:eastAsia="黑体" w:hAnsi="Calibri Light" w:hint="eastAsia"/>
          <w:bCs/>
          <w:sz w:val="20"/>
          <w:szCs w:val="20"/>
        </w:rPr>
        <w:t xml:space="preserve"> 3</w:t>
      </w:r>
      <w:r>
        <w:rPr>
          <w:rFonts w:ascii="Calibri Light" w:eastAsia="黑体" w:hAnsi="Calibri Light" w:hint="eastAsia"/>
          <w:bCs/>
          <w:sz w:val="20"/>
          <w:szCs w:val="20"/>
        </w:rPr>
        <w:t>底座外露部位主要尺寸</w:t>
      </w:r>
    </w:p>
    <w:p w:rsidR="004F3A62" w:rsidRDefault="004F3A62" w:rsidP="004F3A62">
      <w:pPr>
        <w:keepNext/>
        <w:spacing w:beforeLines="50" w:before="156"/>
        <w:jc w:val="center"/>
        <w:rPr>
          <w:rFonts w:ascii="仿宋_GB2312" w:eastAsia="仿宋_GB2312" w:hAnsi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D881AB" wp14:editId="11F3668C">
            <wp:extent cx="3599815" cy="2046605"/>
            <wp:effectExtent l="0" t="0" r="63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47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62" w:rsidRDefault="004F3A62" w:rsidP="004F3A62">
      <w:pPr>
        <w:adjustRightInd w:val="0"/>
        <w:spacing w:afterLines="50" w:after="156"/>
        <w:jc w:val="center"/>
        <w:rPr>
          <w:rFonts w:ascii="Calibri Light" w:eastAsia="黑体" w:hAnsi="Calibri Light"/>
          <w:bCs/>
          <w:sz w:val="20"/>
          <w:szCs w:val="20"/>
        </w:rPr>
      </w:pPr>
      <w:r>
        <w:rPr>
          <w:rFonts w:ascii="Calibri Light" w:eastAsia="黑体" w:hAnsi="Calibri Light" w:hint="eastAsia"/>
          <w:bCs/>
          <w:sz w:val="20"/>
          <w:szCs w:val="20"/>
        </w:rPr>
        <w:t>图</w:t>
      </w:r>
      <w:r>
        <w:rPr>
          <w:rFonts w:ascii="Calibri Light" w:eastAsia="黑体" w:hAnsi="Calibri Light" w:hint="eastAsia"/>
          <w:bCs/>
          <w:sz w:val="20"/>
          <w:szCs w:val="20"/>
        </w:rPr>
        <w:t xml:space="preserve"> 4</w:t>
      </w:r>
      <w:proofErr w:type="gramStart"/>
      <w:r>
        <w:rPr>
          <w:rFonts w:ascii="Calibri Light" w:eastAsia="黑体" w:hAnsi="Calibri Light" w:hint="eastAsia"/>
          <w:bCs/>
          <w:sz w:val="20"/>
          <w:szCs w:val="20"/>
        </w:rPr>
        <w:t>转动台</w:t>
      </w:r>
      <w:proofErr w:type="gramEnd"/>
      <w:r>
        <w:rPr>
          <w:rFonts w:ascii="Calibri Light" w:eastAsia="黑体" w:hAnsi="Calibri Light" w:hint="eastAsia"/>
          <w:bCs/>
          <w:sz w:val="20"/>
          <w:szCs w:val="20"/>
        </w:rPr>
        <w:t>与摄相机组件接口要求</w:t>
      </w:r>
    </w:p>
    <w:p w:rsidR="004F3A62" w:rsidRDefault="004F3A62" w:rsidP="004F3A62">
      <w:pPr>
        <w:keepNext/>
        <w:spacing w:beforeLines="50" w:before="156"/>
        <w:jc w:val="center"/>
        <w:rPr>
          <w:rFonts w:ascii="仿宋_GB2312" w:eastAsia="仿宋_GB2312" w:hAnsi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41B1D224" wp14:editId="5DD77B47">
            <wp:extent cx="3599815" cy="2196465"/>
            <wp:effectExtent l="0" t="0" r="63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9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62" w:rsidRDefault="004F3A62" w:rsidP="004F3A62">
      <w:pPr>
        <w:adjustRightInd w:val="0"/>
        <w:spacing w:afterLines="50" w:after="156"/>
        <w:jc w:val="center"/>
        <w:rPr>
          <w:rFonts w:ascii="Calibri Light" w:eastAsia="黑体" w:hAnsi="Calibri Light"/>
          <w:bCs/>
          <w:sz w:val="20"/>
          <w:szCs w:val="20"/>
        </w:rPr>
      </w:pPr>
      <w:r>
        <w:rPr>
          <w:rFonts w:ascii="Calibri Light" w:eastAsia="黑体" w:hAnsi="Calibri Light" w:hint="eastAsia"/>
          <w:bCs/>
          <w:sz w:val="20"/>
          <w:szCs w:val="20"/>
        </w:rPr>
        <w:t>图</w:t>
      </w:r>
      <w:r>
        <w:rPr>
          <w:rFonts w:ascii="Calibri Light" w:eastAsia="黑体" w:hAnsi="Calibri Light" w:hint="eastAsia"/>
          <w:bCs/>
          <w:sz w:val="20"/>
          <w:szCs w:val="20"/>
        </w:rPr>
        <w:t xml:space="preserve"> 5</w:t>
      </w:r>
      <w:proofErr w:type="gramStart"/>
      <w:r>
        <w:rPr>
          <w:rFonts w:ascii="Calibri Light" w:eastAsia="黑体" w:hAnsi="Calibri Light" w:hint="eastAsia"/>
          <w:bCs/>
          <w:sz w:val="20"/>
          <w:szCs w:val="20"/>
        </w:rPr>
        <w:t>转动台</w:t>
      </w:r>
      <w:proofErr w:type="gramEnd"/>
      <w:r>
        <w:rPr>
          <w:rFonts w:ascii="Calibri Light" w:eastAsia="黑体" w:hAnsi="Calibri Light" w:hint="eastAsia"/>
          <w:bCs/>
          <w:sz w:val="20"/>
          <w:szCs w:val="20"/>
        </w:rPr>
        <w:t>与摄相机壳连接</w:t>
      </w:r>
    </w:p>
    <w:p w:rsidR="004F3A62" w:rsidRDefault="004F3A62" w:rsidP="004F3A62">
      <w:pPr>
        <w:numPr>
          <w:ilvl w:val="1"/>
          <w:numId w:val="1"/>
        </w:numPr>
        <w:spacing w:line="360" w:lineRule="auto"/>
        <w:ind w:firstLine="0"/>
        <w:outlineLvl w:val="1"/>
        <w:rPr>
          <w:rFonts w:ascii="仿宋_GB2312" w:eastAsia="仿宋_GB2312" w:hAnsi="Calibri"/>
          <w:bCs/>
          <w:sz w:val="28"/>
          <w:szCs w:val="28"/>
        </w:rPr>
      </w:pPr>
      <w:r>
        <w:rPr>
          <w:rFonts w:ascii="仿宋_GB2312" w:eastAsia="仿宋_GB2312" w:hAnsi="Calibri" w:hint="eastAsia"/>
          <w:bCs/>
          <w:sz w:val="28"/>
          <w:szCs w:val="28"/>
        </w:rPr>
        <w:t>线缆</w:t>
      </w:r>
    </w:p>
    <w:p w:rsidR="004F3A62" w:rsidRDefault="004F3A62" w:rsidP="004F3A62">
      <w:pPr>
        <w:spacing w:line="360" w:lineRule="auto"/>
        <w:ind w:firstLineChars="236" w:firstLine="661"/>
        <w:rPr>
          <w:rFonts w:ascii="仿宋_GB2312" w:eastAsia="仿宋_GB2312" w:hAnsi="Calibri"/>
          <w:bCs/>
          <w:sz w:val="28"/>
          <w:szCs w:val="28"/>
        </w:rPr>
      </w:pPr>
      <w:r>
        <w:rPr>
          <w:rFonts w:ascii="仿宋_GB2312" w:eastAsia="仿宋_GB2312" w:hAnsi="Calibri" w:hint="eastAsia"/>
          <w:bCs/>
          <w:sz w:val="28"/>
          <w:szCs w:val="28"/>
        </w:rPr>
        <w:t>随同云台供货有</w:t>
      </w:r>
      <w:r w:rsidRPr="00930AE6">
        <w:rPr>
          <w:rFonts w:ascii="仿宋_GB2312" w:eastAsia="仿宋_GB2312" w:hAnsi="Calibri" w:hint="eastAsia"/>
          <w:bCs/>
          <w:sz w:val="28"/>
          <w:szCs w:val="28"/>
        </w:rPr>
        <w:t>一套线缆。</w:t>
      </w:r>
    </w:p>
    <w:p w:rsidR="0075592B" w:rsidRPr="004F3A62" w:rsidRDefault="0075592B"/>
    <w:sectPr w:rsidR="0075592B" w:rsidRPr="004F3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E7" w:rsidRDefault="00CA59E7" w:rsidP="004F3A62">
      <w:r>
        <w:separator/>
      </w:r>
    </w:p>
  </w:endnote>
  <w:endnote w:type="continuationSeparator" w:id="0">
    <w:p w:rsidR="00CA59E7" w:rsidRDefault="00CA59E7" w:rsidP="004F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E7" w:rsidRDefault="00CA59E7" w:rsidP="004F3A62">
      <w:r>
        <w:separator/>
      </w:r>
    </w:p>
  </w:footnote>
  <w:footnote w:type="continuationSeparator" w:id="0">
    <w:p w:rsidR="00CA59E7" w:rsidRDefault="00CA59E7" w:rsidP="004F3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217DA"/>
    <w:multiLevelType w:val="multilevel"/>
    <w:tmpl w:val="612217D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1A"/>
    <w:rsid w:val="004F3A62"/>
    <w:rsid w:val="0075592B"/>
    <w:rsid w:val="0091281A"/>
    <w:rsid w:val="00CA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A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3A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3A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A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3A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3A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2020-03-06T08:08:00Z</dcterms:created>
  <dcterms:modified xsi:type="dcterms:W3CDTF">2020-03-06T08:08:00Z</dcterms:modified>
</cp:coreProperties>
</file>